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重庆市綦江区交通运输委员会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（本级）</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一、单位基本情况</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（一）职能职责</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贯彻执行交通运输法律、法规、规章和方针政策；拟定全区涉及交通运输行业发展的规范性文件、有关实施细则、管理规定和改革方案，并监督执行；负责交通运输经济运行监测，研究交通运输行业发展趋势和重大问题；指导交通运输行业的体制改革。</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拟订全区综合交通运输发展战略和政策；牵头会同有关部门组织编制综合交通运输体系规划和公路、水路、铁路、民航发展中长期规划，并组织实施；组织编制公路建设、航运发展、港口布局、岸线利用、枢纽站场等专项规划，并组织实施；负责交通重点项目的方案研究，可行性研究报告编制及相关专题论证报告编制；负责综合交通运输统计工作；负责对邮政部门提出的邮政行业发展战略和规划进行衔接平衡。</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负责推进综合交通运输体系建设，统筹规划公路、水路、铁路、民航及邮政行业发展，组织协调公路、水路、铁路、航空和公共客运等多种运输方式和基础设施的配套衔接，优化交通运输结构布局，构建综合交通运输体系，促进各种交通运输方式融合；协调做好高速公路、铁路、民航、邮政、海事、航道、船检、救助、打捞等涉地相关工作。</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4.负责全区道路、水路运输市场监管和行业稳定；贯彻执行道路、水路运输行业有关政策、准入制度、技术标准和运营规范，并监督实施；指导水陆客货运输和相关业务（旅客运输、货物运输、客货运输站场经营、机动车驾驶员培训、机动车维修、汽车租赁、营运车船技术、从业人员管理）的管理工作；指导辖区船舶的法定检验。</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负责编制全区交通运输发展专项资金的年度预决算，提出全区公路、水路、铁路、民航等公共基础设施投资规模和方向，根据区政府规定权限审批和核准规划内和年度计划规模内公共基础设施投资项目，并组织实施和监督管理；参与交通建设投融资体制改革和有关政策拟订工作；指导、监督交通运输有关规费政策实施。</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6.负责统筹协调全区综合交通建设，协调安排项目建设时序；承担全区公路、水运、地方铁路、民航、枢纽站场建设和养护市场监管责任；贯彻执行公路、水运、地方铁路、民航工程建设相关政策、制度和技术标准，并监督实施；指导、协调全区地方公路、水运、地方铁路、民航、枢纽站场交通基础设施建设的工程质量监督管理工作；负责区列养公路的建设、养护、管理工作，指导乡、村道公路的建设、管理、养护工作。</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承担道路运政、水路运政、航道行政、港口行政、地方海事行政、交通工程监督管理、区列养公路路政等行政许可、行政决策职能，指导街镇做好乡村公路行政许可工作；承担交通运输行业深化行政许可制度改革工作；负责监督管理交通运输综合行政执法队伍，负责执法人员培训考核工作；监督指导交通运输综合行政执法工作及重大执法决定的法制审核；组织协调超限超载治理工作；负责交通运输信用体系建设。</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负责交通运输行业安全生产综合监督和应急管理工作；按规定协调全区交通运输领域重大突发公共事件的应急管理和处置；依法组织或参与事故调查处理工作；组织重点、特种、战备、抢险救灾物资，紧急客货运输和重点时段重大交通运输工作；指导交通运输行业应急预案编制与应急体制、机制建设；指导交通运输行业安全教育培训工作；承担区国防动员委员会交通战备办公室工作；指导交通运输行业职业病防治工作；负责职责范围内的平安建设工作。</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负责组织、指导、管理交通运输行业信息化建设，并发布有关信息；统筹指导交通运输行业环境保护和节能减排工作；会同有关部门推进智能交通系统建设，推进交通运输行业科技进步，推广新技术、新工艺和新材料在交通运输行业的应用。</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10.负责交通运输行业的合作交流工作；指导交通运输行业职业技能培训工作；指导交通运输行业相关协会的工作。</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11.负责组织指导交通运输行业的招商引资工作。</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12.负责本系统人才队伍建设。</w:t>
      </w:r>
    </w:p>
    <w:p>
      <w:pPr>
        <w:pStyle w:val="7"/>
        <w:keepNext w:val="0"/>
        <w:keepLines w:val="0"/>
        <w:pageBreakBefore w:val="0"/>
        <w:widowControl/>
        <w:suppressLineNumbers w:val="0"/>
        <w:kinsoku/>
        <w:wordWrap/>
        <w:overflowPunct/>
        <w:topLinePunct w:val="0"/>
        <w:autoSpaceDN/>
        <w:bidi w:val="0"/>
        <w:adjustRightInd/>
        <w:spacing w:line="576" w:lineRule="exact"/>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color w:val="auto"/>
          <w:sz w:val="32"/>
          <w:szCs w:val="32"/>
          <w:highlight w:val="none"/>
          <w:lang w:val="en-US" w:eastAsia="zh-CN" w:bidi="ar-SA"/>
        </w:rPr>
        <w:t>13.加强交通运输行业发展统筹管理。</w:t>
      </w:r>
    </w:p>
    <w:p>
      <w:pPr>
        <w:keepNext w:val="0"/>
        <w:keepLines w:val="0"/>
        <w:pageBreakBefore w:val="0"/>
        <w:widowControl/>
        <w:suppressLineNumbers w:val="0"/>
        <w:kinsoku/>
        <w:wordWrap/>
        <w:overflowPunct/>
        <w:topLinePunct w:val="0"/>
        <w:autoSpaceDN/>
        <w:bidi w:val="0"/>
        <w:adjustRightInd/>
        <w:spacing w:line="576" w:lineRule="exact"/>
        <w:jc w:val="center"/>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 14.负责指导推动道路运输领域网约车司机、货车司机群</w:t>
      </w:r>
    </w:p>
    <w:p>
      <w:pPr>
        <w:pStyle w:val="7"/>
        <w:keepNext w:val="0"/>
        <w:keepLines w:val="0"/>
        <w:pageBreakBefore w:val="0"/>
        <w:widowControl/>
        <w:suppressLineNumbers w:val="0"/>
        <w:kinsoku/>
        <w:wordWrap/>
        <w:overflowPunct/>
        <w:topLinePunct w:val="0"/>
        <w:autoSpaceDN/>
        <w:bidi w:val="0"/>
        <w:adjustRightInd/>
        <w:spacing w:line="576" w:lineRule="exact"/>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体党建工作。</w:t>
      </w:r>
    </w:p>
    <w:p>
      <w:pPr>
        <w:keepNext w:val="0"/>
        <w:keepLines w:val="0"/>
        <w:pageBreakBefore w:val="0"/>
        <w:widowControl/>
        <w:kinsoku/>
        <w:wordWrap/>
        <w:overflowPunct/>
        <w:topLinePunct w:val="0"/>
        <w:autoSpaceDN/>
        <w:bidi w:val="0"/>
        <w:adjustRightInd/>
        <w:spacing w:line="576" w:lineRule="exact"/>
        <w:ind w:firstLine="640" w:firstLineChars="200"/>
        <w:textAlignment w:val="auto"/>
        <w:rPr>
          <w:rStyle w:val="10"/>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.完成区委、区政府交办的其他任务。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bidi="ar-SA"/>
        </w:rPr>
      </w:pPr>
      <w:r>
        <w:rPr>
          <w:rFonts w:hint="eastAsia" w:ascii="方正楷体_GBK" w:hAnsi="方正楷体_GBK" w:eastAsia="方正楷体_GBK" w:cs="方正楷体_GBK"/>
          <w:color w:val="auto"/>
          <w:sz w:val="32"/>
          <w:szCs w:val="32"/>
          <w:highlight w:val="none"/>
          <w:lang w:val="en-US" w:eastAsia="zh-CN" w:bidi="ar-SA"/>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区交通运输委（本级）下列</w:t>
      </w:r>
      <w:r>
        <w:rPr>
          <w:rFonts w:hint="default" w:ascii="Times New Roman" w:hAnsi="Times New Roman" w:eastAsia="方正仿宋_GBK" w:cs="Times New Roman"/>
          <w:color w:val="auto"/>
          <w:sz w:val="32"/>
          <w:szCs w:val="32"/>
          <w:lang w:val="en-US" w:eastAsia="zh-CN"/>
        </w:rPr>
        <w:t>9个正科级内设机构，分别为</w:t>
      </w:r>
      <w:r>
        <w:rPr>
          <w:rFonts w:hint="default" w:ascii="Times New Roman" w:hAnsi="Times New Roman" w:eastAsia="方正仿宋_GBK" w:cs="Times New Roman"/>
          <w:color w:val="auto"/>
          <w:sz w:val="32"/>
          <w:szCs w:val="32"/>
          <w:lang w:eastAsia="zh-CN"/>
        </w:rPr>
        <w:t>：办公室（信访科）、组织人事科、财务科、综合规划科、安全法规科（质量监督办公室）、建设养护管理科（交通建设办公室）、综合运输科（国防交通科）、行政审批科、农村公路管理科（农村公路管理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32087.94万元。收、支与2023年度相比，增加4324.73万元，增长15.6%，主要原因是</w:t>
      </w:r>
      <w:r>
        <w:rPr>
          <w:rFonts w:hint="default" w:ascii="Times New Roman" w:hAnsi="Times New Roman" w:eastAsia="方正仿宋_GBK" w:cs="Times New Roman"/>
          <w:sz w:val="32"/>
          <w:szCs w:val="32"/>
          <w:shd w:val="clear" w:color="auto" w:fill="FFFFFF"/>
          <w:lang w:val="en-US" w:eastAsia="zh-CN"/>
        </w:rPr>
        <w:t>2024年使用了上年结转结余</w:t>
      </w:r>
      <w:r>
        <w:rPr>
          <w:rFonts w:hint="eastAsia"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sz w:val="32"/>
          <w:szCs w:val="32"/>
          <w:shd w:val="clear" w:color="auto" w:fill="FFFFFF"/>
          <w:lang w:val="en-US" w:eastAsia="zh-CN"/>
        </w:rPr>
        <w:t>资金4550.14万元， 所以</w:t>
      </w:r>
      <w:r>
        <w:rPr>
          <w:rFonts w:hint="default" w:ascii="Times New Roman" w:hAnsi="Times New Roman" w:eastAsia="方正仿宋_GBK" w:cs="Times New Roman"/>
          <w:sz w:val="32"/>
          <w:szCs w:val="32"/>
          <w:shd w:val="clear" w:color="auto" w:fill="FFFFFF"/>
        </w:rPr>
        <w:t>收、支与2023年度相比</w:t>
      </w:r>
      <w:r>
        <w:rPr>
          <w:rFonts w:hint="default" w:ascii="Times New Roman" w:hAnsi="Times New Roman" w:eastAsia="方正仿宋_GBK" w:cs="Times New Roman"/>
          <w:sz w:val="32"/>
          <w:szCs w:val="32"/>
          <w:shd w:val="clear" w:color="auto" w:fill="FFFFFF"/>
          <w:lang w:eastAsia="zh-CN"/>
        </w:rPr>
        <w:t>增长了</w:t>
      </w:r>
      <w:r>
        <w:rPr>
          <w:rFonts w:hint="default" w:ascii="Times New Roman" w:hAnsi="Times New Roman" w:eastAsia="方正仿宋_GBK" w:cs="Times New Roman"/>
          <w:sz w:val="32"/>
          <w:szCs w:val="32"/>
          <w:shd w:val="clear" w:color="auto" w:fill="FFFFFF"/>
          <w:lang w:val="en-US" w:eastAsia="zh-CN"/>
        </w:rPr>
        <w:t>15.6%。</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2024年度收入合计27537.80万元，与2023年度相比，减少225.41万元，下降0.8%，主要原因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rPr>
        <w:t>2023区财政</w:t>
      </w:r>
      <w:r>
        <w:rPr>
          <w:rFonts w:hint="eastAsia" w:ascii="Times New Roman" w:hAnsi="Times New Roman" w:eastAsia="方正仿宋_GBK" w:cs="Times New Roman"/>
          <w:sz w:val="32"/>
          <w:szCs w:val="32"/>
          <w:shd w:val="clear" w:color="auto" w:fill="FFFFFF"/>
          <w:lang w:eastAsia="zh-CN"/>
        </w:rPr>
        <w:t>下达的</w:t>
      </w:r>
      <w:r>
        <w:rPr>
          <w:rFonts w:hint="default" w:ascii="Times New Roman" w:hAnsi="Times New Roman" w:eastAsia="方正仿宋_GBK" w:cs="Times New Roman"/>
          <w:sz w:val="32"/>
          <w:szCs w:val="32"/>
          <w:shd w:val="clear" w:color="auto" w:fill="FFFFFF"/>
        </w:rPr>
        <w:t>车购税资金</w:t>
      </w:r>
      <w:r>
        <w:rPr>
          <w:rFonts w:hint="eastAsia"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二是</w:t>
      </w:r>
      <w:r>
        <w:rPr>
          <w:rFonts w:hint="default" w:ascii="Times New Roman" w:hAnsi="Times New Roman" w:eastAsia="方正仿宋_GBK" w:cs="Times New Roman"/>
          <w:sz w:val="32"/>
          <w:szCs w:val="32"/>
          <w:shd w:val="clear" w:color="auto" w:fill="FFFFFF"/>
        </w:rPr>
        <w:t>本年度区财政安排了隐债化解资金1.09亿元，导致基金预算增加。</w:t>
      </w:r>
      <w:r>
        <w:rPr>
          <w:rFonts w:hint="default" w:ascii="Times New Roman" w:hAnsi="Times New Roman" w:eastAsia="方正仿宋_GBK" w:cs="Times New Roman"/>
          <w:sz w:val="32"/>
          <w:szCs w:val="32"/>
          <w:shd w:val="clear" w:color="auto" w:fill="FFFFFF"/>
          <w:lang w:eastAsia="zh-CN"/>
        </w:rPr>
        <w:t>综上两个原因收入较去年下降了</w:t>
      </w:r>
      <w:r>
        <w:rPr>
          <w:rFonts w:hint="default" w:ascii="Times New Roman" w:hAnsi="Times New Roman" w:eastAsia="方正仿宋_GBK" w:cs="Times New Roman"/>
          <w:sz w:val="32"/>
          <w:szCs w:val="32"/>
          <w:shd w:val="clear" w:color="auto" w:fill="FFFFFF"/>
          <w:lang w:val="en-US" w:eastAsia="zh-CN"/>
        </w:rPr>
        <w:t>0.8%，</w:t>
      </w:r>
      <w:r>
        <w:rPr>
          <w:rFonts w:hint="default" w:ascii="Times New Roman" w:hAnsi="Times New Roman" w:eastAsia="方正仿宋_GBK" w:cs="Times New Roman"/>
          <w:sz w:val="32"/>
          <w:szCs w:val="32"/>
          <w:shd w:val="clear" w:color="auto" w:fill="FFFFFF"/>
        </w:rPr>
        <w:t>其中：财政拨款收入27537.80万元，占100.0%；事业收入0.00万元，占0.0%；经营收入0.00万元，占0.0%；其他收入0.00万元，占0.0%。此外，使用非财政拨款结余（含专用结余）0.00万元，年初结转和结余4550.14万元。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2024年度支出合计32087.94万元，与2023年度相比，增加4324.73万元，增长15.6%，主要原因是</w:t>
      </w:r>
      <w:r>
        <w:rPr>
          <w:rFonts w:hint="default" w:ascii="Times New Roman" w:hAnsi="Times New Roman" w:eastAsia="方正仿宋_GBK" w:cs="Times New Roman"/>
          <w:sz w:val="32"/>
          <w:szCs w:val="32"/>
          <w:shd w:val="clear" w:color="auto" w:fill="FFFFFF"/>
          <w:lang w:val="en-US" w:eastAsia="zh-CN"/>
        </w:rPr>
        <w:t>2024年使用了结转结余</w:t>
      </w:r>
      <w:r>
        <w:rPr>
          <w:rFonts w:hint="eastAsia"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sz w:val="32"/>
          <w:szCs w:val="32"/>
          <w:shd w:val="clear" w:color="auto" w:fill="FFFFFF"/>
          <w:lang w:val="en-US" w:eastAsia="zh-CN"/>
        </w:rPr>
        <w:t>资金4550.14万元，</w:t>
      </w:r>
      <w:r>
        <w:rPr>
          <w:rFonts w:hint="default" w:ascii="Times New Roman" w:hAnsi="Times New Roman" w:eastAsia="方正仿宋_GBK" w:cs="Times New Roman"/>
          <w:sz w:val="32"/>
          <w:szCs w:val="32"/>
          <w:shd w:val="clear" w:color="auto" w:fill="FFFFFF"/>
        </w:rPr>
        <w:t>其中：基本支出469.84万元，占1.5%；项目支出31618.09万元，占98.5%；经营支出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根据财政政策要求所有经费不结转结余。</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2024年度财政拨款收、支总计均为32087.94万元。与2023年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相比，财政拨款收、支总计各增加4324.73万元，增长15.6%。主要原因是</w:t>
      </w:r>
      <w:r>
        <w:rPr>
          <w:rFonts w:hint="default" w:ascii="Times New Roman" w:hAnsi="Times New Roman" w:eastAsia="方正仿宋_GBK" w:cs="Times New Roman"/>
          <w:sz w:val="32"/>
          <w:szCs w:val="32"/>
          <w:shd w:val="clear" w:color="auto" w:fill="FFFFFF"/>
          <w:lang w:val="en-US" w:eastAsia="zh-CN"/>
        </w:rPr>
        <w:t>2024年使用了上年结转结余</w:t>
      </w:r>
      <w:r>
        <w:rPr>
          <w:rFonts w:hint="eastAsia"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sz w:val="32"/>
          <w:szCs w:val="32"/>
          <w:shd w:val="clear" w:color="auto" w:fill="FFFFFF"/>
          <w:lang w:val="en-US" w:eastAsia="zh-CN"/>
        </w:rPr>
        <w:t>资金4550.14万元， 所以</w:t>
      </w:r>
      <w:r>
        <w:rPr>
          <w:rFonts w:hint="default" w:ascii="Times New Roman" w:hAnsi="Times New Roman" w:eastAsia="方正仿宋_GBK" w:cs="Times New Roman"/>
          <w:sz w:val="32"/>
          <w:szCs w:val="32"/>
          <w:shd w:val="clear" w:color="auto" w:fill="FFFFFF"/>
        </w:rPr>
        <w:t>收、支与2023年度相比</w:t>
      </w:r>
      <w:r>
        <w:rPr>
          <w:rFonts w:hint="default" w:ascii="Times New Roman" w:hAnsi="Times New Roman" w:eastAsia="方正仿宋_GBK" w:cs="Times New Roman"/>
          <w:sz w:val="32"/>
          <w:szCs w:val="32"/>
          <w:shd w:val="clear" w:color="auto" w:fill="FFFFFF"/>
          <w:lang w:eastAsia="zh-CN"/>
        </w:rPr>
        <w:t>增长了</w:t>
      </w:r>
      <w:r>
        <w:rPr>
          <w:rFonts w:hint="default" w:ascii="Times New Roman" w:hAnsi="Times New Roman" w:eastAsia="方正仿宋_GBK" w:cs="Times New Roman"/>
          <w:sz w:val="32"/>
          <w:szCs w:val="32"/>
          <w:shd w:val="clear" w:color="auto" w:fill="FFFFFF"/>
          <w:lang w:val="en-US" w:eastAsia="zh-CN"/>
        </w:rPr>
        <w:t>15.6%。</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2024年度一般公共预算财政拨款收入16366.58万元，与2023年度相比，减少8896.63万元，下降35.2%。</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2023</w:t>
      </w:r>
      <w:r>
        <w:rPr>
          <w:rFonts w:hint="eastAsia" w:ascii="Times New Roman" w:hAnsi="Times New Roman" w:eastAsia="方正仿宋_GBK" w:cs="Times New Roman"/>
          <w:sz w:val="32"/>
          <w:szCs w:val="32"/>
          <w:shd w:val="clear" w:color="auto" w:fill="FFFFFF"/>
          <w:lang w:eastAsia="zh-CN"/>
        </w:rPr>
        <w:t>年下达的</w:t>
      </w:r>
      <w:r>
        <w:rPr>
          <w:rFonts w:hint="default" w:ascii="Times New Roman" w:hAnsi="Times New Roman" w:eastAsia="方正仿宋_GBK" w:cs="Times New Roman"/>
          <w:sz w:val="32"/>
          <w:szCs w:val="32"/>
          <w:shd w:val="clear" w:color="auto" w:fill="FFFFFF"/>
        </w:rPr>
        <w:t>车购税资金</w:t>
      </w:r>
      <w:r>
        <w:rPr>
          <w:rFonts w:hint="eastAsia"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因此2024年收入相较2023年减少。较年初预算数减少5811.93万元，下降26.2%。主要原因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调整年初预算</w:t>
      </w:r>
      <w:r>
        <w:rPr>
          <w:rFonts w:hint="default" w:ascii="Times New Roman" w:hAnsi="Times New Roman" w:eastAsia="方正仿宋_GBK" w:cs="Times New Roman"/>
          <w:sz w:val="32"/>
          <w:szCs w:val="32"/>
          <w:shd w:val="clear" w:color="auto" w:fill="FFFFFF"/>
          <w:lang w:val="en-US" w:eastAsia="zh-CN"/>
        </w:rPr>
        <w:t>4550.14万元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二是因部分项目未完工结算，导致当年实际收入较年初预算数减少。</w:t>
      </w:r>
      <w:r>
        <w:rPr>
          <w:rFonts w:hint="default" w:ascii="Times New Roman" w:hAnsi="Times New Roman" w:eastAsia="方正仿宋_GBK" w:cs="Times New Roman"/>
          <w:sz w:val="32"/>
          <w:szCs w:val="32"/>
          <w:shd w:val="clear" w:color="auto" w:fill="FFFFFF"/>
        </w:rPr>
        <w:t>年初财政拨款结转和结余0.00万元。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2024年度一般公共预算财政拨款支出16366.58万元，与2023年度相比，减少8896.63万元，下降35.2%。</w:t>
      </w:r>
      <w:r>
        <w:rPr>
          <w:rFonts w:hint="eastAsia" w:ascii="Times New Roman" w:hAnsi="Times New Roman" w:eastAsia="方正仿宋_GBK" w:cs="Times New Roman"/>
          <w:sz w:val="32"/>
          <w:szCs w:val="32"/>
          <w:shd w:val="clear" w:color="auto" w:fill="FFFFFF"/>
          <w:lang w:eastAsia="zh-CN"/>
        </w:rPr>
        <w:t>主要原因是</w:t>
      </w:r>
      <w:r>
        <w:rPr>
          <w:rFonts w:hint="eastAsia" w:ascii="Times New Roman" w:hAnsi="Times New Roman" w:eastAsia="方正仿宋_GBK" w:cs="Times New Roman"/>
          <w:sz w:val="32"/>
          <w:szCs w:val="32"/>
          <w:shd w:val="clear" w:color="auto" w:fill="FFFFFF"/>
          <w:lang w:val="en-US" w:eastAsia="zh-CN"/>
        </w:rPr>
        <w:t>2023年下达的车购税资金增加。</w:t>
      </w:r>
      <w:r>
        <w:rPr>
          <w:rFonts w:hint="default" w:ascii="Times New Roman" w:hAnsi="Times New Roman" w:eastAsia="方正仿宋_GBK" w:cs="Times New Roman"/>
          <w:sz w:val="32"/>
          <w:szCs w:val="32"/>
          <w:shd w:val="clear" w:color="auto" w:fill="FFFFFF"/>
        </w:rPr>
        <w:t>较年初预算数减少5811.93万元，下降26.2%。主要原因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调整年初预算</w:t>
      </w:r>
      <w:r>
        <w:rPr>
          <w:rFonts w:hint="default" w:ascii="Times New Roman" w:hAnsi="Times New Roman" w:eastAsia="方正仿宋_GBK" w:cs="Times New Roman"/>
          <w:sz w:val="32"/>
          <w:szCs w:val="32"/>
          <w:shd w:val="clear" w:color="auto" w:fill="FFFFFF"/>
          <w:lang w:val="en-US" w:eastAsia="zh-CN"/>
        </w:rPr>
        <w:t>4550.14万元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二是因部分项目未完工结算，导致当年实际收入较年初预算数减少。</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就业支出131.84万元，占0.8%，较年初预算数增加8.21万元，增长6.6%，</w:t>
      </w:r>
      <w:r>
        <w:rPr>
          <w:rFonts w:hint="default" w:ascii="Times New Roman" w:hAnsi="Times New Roman" w:eastAsia="方正仿宋_GBK" w:cs="Times New Roman"/>
          <w:sz w:val="32"/>
          <w:szCs w:val="32"/>
          <w:shd w:val="clear" w:color="auto" w:fill="FFFFFF"/>
          <w:lang w:eastAsia="zh-CN"/>
        </w:rPr>
        <w:t>变化幅度不大，与年初预算数基本持平。</w:t>
      </w:r>
    </w:p>
    <w:p>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卫生健康支出21.38万元，占0.1%，较年初预算数减少5.85万元，下降21.5%，主要原因是</w:t>
      </w:r>
      <w:r>
        <w:rPr>
          <w:rFonts w:hint="default" w:ascii="Times New Roman" w:hAnsi="Times New Roman" w:eastAsia="方正仿宋_GBK" w:cs="Times New Roman"/>
          <w:sz w:val="32"/>
          <w:szCs w:val="32"/>
          <w:shd w:val="clear" w:color="auto" w:fill="FFFFFF"/>
          <w:lang w:eastAsia="zh-CN"/>
        </w:rPr>
        <w:t>有人员退休、调离等。</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）城乡社区支出824.00万元，占5.0%，较年初预算数无增减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）交通运输支出15366.99万元，占93.9%，较年初预算数减少5805.12万元，下降27.4%，</w:t>
      </w:r>
      <w:r>
        <w:rPr>
          <w:rFonts w:hint="default" w:ascii="Times New Roman" w:hAnsi="Times New Roman" w:eastAsia="方正仿宋_GBK" w:cs="Times New Roman"/>
          <w:sz w:val="32"/>
          <w:szCs w:val="32"/>
          <w:shd w:val="clear" w:color="auto" w:fill="FFFFFF"/>
          <w:lang w:eastAsia="zh-CN"/>
        </w:rPr>
        <w:t>主要原因是使用了结转结余</w:t>
      </w:r>
      <w:r>
        <w:rPr>
          <w:rFonts w:hint="eastAsia" w:ascii="Times New Roman" w:hAnsi="Times New Roman" w:eastAsia="方正仿宋_GBK" w:cs="Times New Roman"/>
          <w:sz w:val="32"/>
          <w:szCs w:val="32"/>
          <w:shd w:val="clear" w:color="auto" w:fill="FFFFFF"/>
          <w:lang w:eastAsia="zh-CN"/>
        </w:rPr>
        <w:t>调整</w:t>
      </w:r>
      <w:r>
        <w:rPr>
          <w:rFonts w:hint="default" w:ascii="Times New Roman" w:hAnsi="Times New Roman" w:eastAsia="方正仿宋_GBK" w:cs="Times New Roman"/>
          <w:sz w:val="32"/>
          <w:szCs w:val="32"/>
          <w:shd w:val="clear" w:color="auto" w:fill="FFFFFF"/>
          <w:lang w:eastAsia="zh-CN"/>
        </w:rPr>
        <w:t>资金。</w:t>
      </w:r>
    </w:p>
    <w:p>
      <w:pPr>
        <w:keepNext w:val="0"/>
        <w:keepLines w:val="0"/>
        <w:pageBreakBefore w:val="0"/>
        <w:widowControl/>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22.38万元，占0.1%，较年初预算数减少9.16万元，下降29.0%，</w:t>
      </w:r>
      <w:r>
        <w:rPr>
          <w:rFonts w:hint="default" w:ascii="Times New Roman" w:hAnsi="Times New Roman" w:eastAsia="方正仿宋_GBK" w:cs="Times New Roman"/>
          <w:sz w:val="32"/>
          <w:szCs w:val="32"/>
          <w:shd w:val="clear" w:color="auto" w:fill="FFFFFF"/>
          <w:lang w:eastAsia="zh-CN"/>
        </w:rPr>
        <w:t>主要原因是</w:t>
      </w:r>
      <w:r>
        <w:rPr>
          <w:rFonts w:hint="eastAsia" w:ascii="Times New Roman" w:hAnsi="Times New Roman" w:eastAsia="方正仿宋_GBK" w:cs="Times New Roman"/>
          <w:sz w:val="32"/>
          <w:szCs w:val="32"/>
          <w:shd w:val="clear" w:color="auto" w:fill="FFFFFF"/>
          <w:lang w:eastAsia="zh-CN"/>
        </w:rPr>
        <w:t>由于</w:t>
      </w:r>
      <w:r>
        <w:rPr>
          <w:rFonts w:hint="default" w:ascii="Times New Roman" w:hAnsi="Times New Roman" w:eastAsia="方正仿宋_GBK" w:cs="Times New Roman"/>
          <w:sz w:val="32"/>
          <w:szCs w:val="32"/>
          <w:shd w:val="clear" w:color="auto" w:fill="FFFFFF"/>
          <w:lang w:eastAsia="zh-CN"/>
        </w:rPr>
        <w:t>人员退休及调离</w:t>
      </w:r>
      <w:r>
        <w:rPr>
          <w:rFonts w:hint="eastAsia"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lang w:eastAsia="zh-CN"/>
        </w:rPr>
        <w:t>变动。</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根据财政政策要求所有经费不结转结余。</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2024年度一般公共财政拨款基本支出469.84万元。其中：</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人员经费393.35万元，与2023年度相比，减少116.80万元，下降22.9%，主要原因是</w:t>
      </w:r>
      <w:r>
        <w:rPr>
          <w:rFonts w:hint="default" w:ascii="Times New Roman" w:hAnsi="Times New Roman" w:eastAsia="方正仿宋_GBK" w:cs="Times New Roman"/>
          <w:sz w:val="32"/>
          <w:szCs w:val="32"/>
          <w:shd w:val="clear" w:color="auto" w:fill="FFFFFF"/>
          <w:lang w:eastAsia="zh-CN"/>
        </w:rPr>
        <w:t>有退休及调离人员变动。</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职工工资、保险、公积金等支出</w:t>
      </w:r>
      <w:r>
        <w:rPr>
          <w:rFonts w:hint="default" w:ascii="Times New Roman" w:hAnsi="Times New Roman" w:eastAsia="方正仿宋_GBK" w:cs="Times New Roman"/>
          <w:sz w:val="32"/>
          <w:szCs w:val="32"/>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公用经费76.49万元，与2023年度相比，减少3.35万元，下降4.2%，</w:t>
      </w:r>
      <w:r>
        <w:rPr>
          <w:rFonts w:hint="default" w:ascii="Times New Roman" w:hAnsi="Times New Roman" w:eastAsia="方正仿宋_GBK" w:cs="Times New Roman"/>
          <w:sz w:val="32"/>
          <w:szCs w:val="32"/>
          <w:shd w:val="clear" w:color="auto" w:fill="FFFFFF"/>
          <w:lang w:eastAsia="zh-CN"/>
        </w:rPr>
        <w:t>与上年相比基本持平。</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办公费、水电费、租赁费，公务车费用，公务接待费等。</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4550.14万元，年末结转结余0.00万元。本年收入11171.21万元，与2023年度相比，增加8671.21万元，增长346.9%，主要原因是本年度区财政安排了隐债化解资金1.09亿元，导致基金预算增加。本年支出15721.35万元，与2023年度相比，增加13221.35万元，增长528.9%，主要原因是本年度区财政安排了隐债化解资金1.09亿元，导致基金</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2024年度“三公”经费支出共计5.29万元，较年初预算数减少1.21万元，下降18.6%，主要原因是</w:t>
      </w:r>
      <w:r>
        <w:rPr>
          <w:rFonts w:hint="default" w:ascii="Times New Roman" w:hAnsi="Times New Roman" w:eastAsia="方正仿宋_GBK" w:cs="Times New Roman"/>
          <w:sz w:val="32"/>
          <w:szCs w:val="32"/>
          <w:shd w:val="clear" w:color="auto" w:fill="FFFFFF"/>
          <w:lang w:eastAsia="zh-CN"/>
        </w:rPr>
        <w:t>我单位</w:t>
      </w:r>
      <w:r>
        <w:rPr>
          <w:rFonts w:hint="default" w:ascii="Times New Roman" w:hAnsi="Times New Roman" w:eastAsia="方正仿宋_GBK" w:cs="Times New Roman"/>
          <w:sz w:val="32"/>
          <w:szCs w:val="32"/>
          <w:shd w:val="clear" w:color="auto" w:fill="FFFFFF"/>
        </w:rPr>
        <w:t>严控支出，坚持</w:t>
      </w:r>
      <w:r>
        <w:rPr>
          <w:rFonts w:hint="default" w:ascii="Times New Roman" w:hAnsi="Times New Roman" w:eastAsia="方正仿宋_GBK" w:cs="Times New Roman"/>
          <w:sz w:val="32"/>
          <w:szCs w:val="32"/>
        </w:rPr>
        <w:t>“无预算不支出，超预算不支出的原则”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较上年支出数增加1.34万元，增长33.9%，主要原因是由于今年招商引资活动、各类检查接待等，导致公务接待费上涨。</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车运行维护费3.25万元，主要用于</w:t>
      </w:r>
      <w:r>
        <w:rPr>
          <w:rFonts w:hint="default" w:ascii="Times New Roman" w:hAnsi="Times New Roman" w:eastAsia="方正仿宋_GBK" w:cs="Times New Roman"/>
          <w:color w:val="auto"/>
          <w:sz w:val="32"/>
          <w:szCs w:val="32"/>
          <w:shd w:val="clear" w:color="auto" w:fill="FFFFFF"/>
          <w:lang w:eastAsia="zh-CN"/>
        </w:rPr>
        <w:t>公务车加油、维修、</w:t>
      </w:r>
      <w:r>
        <w:rPr>
          <w:rFonts w:hint="default" w:ascii="Times New Roman" w:hAnsi="Times New Roman" w:eastAsia="方正仿宋_GBK" w:cs="Times New Roman"/>
          <w:color w:val="auto"/>
          <w:sz w:val="32"/>
          <w:szCs w:val="32"/>
          <w:shd w:val="clear" w:color="auto" w:fill="FFFFFF"/>
          <w:lang w:val="en-US" w:eastAsia="zh-CN"/>
        </w:rPr>
        <w:t>ETC通行费等</w:t>
      </w:r>
      <w:r>
        <w:rPr>
          <w:rFonts w:hint="default" w:ascii="Times New Roman" w:hAnsi="Times New Roman" w:eastAsia="方正仿宋_GBK" w:cs="Times New Roman"/>
          <w:sz w:val="32"/>
          <w:szCs w:val="32"/>
          <w:shd w:val="clear" w:color="auto" w:fill="FFFFFF"/>
        </w:rPr>
        <w:t>费用支出较年初预算数减少0.25万元，下降7.1%，主要原因是</w:t>
      </w:r>
      <w:r>
        <w:rPr>
          <w:rFonts w:hint="default" w:ascii="Times New Roman" w:hAnsi="Times New Roman" w:eastAsia="方正仿宋_GBK" w:cs="Times New Roman"/>
          <w:sz w:val="32"/>
          <w:szCs w:val="32"/>
          <w:shd w:val="clear" w:color="auto" w:fill="FFFFFF"/>
          <w:lang w:eastAsia="zh-CN"/>
        </w:rPr>
        <w:t>我单位</w:t>
      </w:r>
      <w:r>
        <w:rPr>
          <w:rFonts w:hint="default" w:ascii="Times New Roman" w:hAnsi="Times New Roman" w:eastAsia="方正仿宋_GBK" w:cs="Times New Roman"/>
          <w:sz w:val="32"/>
          <w:szCs w:val="32"/>
          <w:shd w:val="clear" w:color="auto" w:fill="FFFFFF"/>
        </w:rPr>
        <w:t>严控支出，坚持</w:t>
      </w:r>
      <w:r>
        <w:rPr>
          <w:rFonts w:hint="default" w:ascii="Times New Roman" w:hAnsi="Times New Roman" w:eastAsia="方正仿宋_GBK" w:cs="Times New Roman"/>
          <w:sz w:val="32"/>
          <w:szCs w:val="32"/>
        </w:rPr>
        <w:t>“无预算不支出，超预算不支出的原则”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较上年支出数减少0.25万元，下降7.1%，主要原因是</w:t>
      </w:r>
      <w:r>
        <w:rPr>
          <w:rFonts w:hint="default" w:ascii="Times New Roman" w:hAnsi="Times New Roman" w:eastAsia="方正仿宋_GBK" w:cs="Times New Roman"/>
          <w:sz w:val="32"/>
          <w:szCs w:val="32"/>
          <w:shd w:val="clear" w:color="auto" w:fill="FFFFFF"/>
          <w:lang w:eastAsia="zh-CN"/>
        </w:rPr>
        <w:t>整合办公出行需求，提高出行效率，节约公务车运行成本。</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公务接待费2.04万元，主要用于接待</w:t>
      </w:r>
      <w:r>
        <w:rPr>
          <w:rFonts w:hint="default" w:ascii="Times New Roman" w:hAnsi="Times New Roman" w:eastAsia="方正仿宋_GBK" w:cs="Times New Roman"/>
          <w:color w:val="auto"/>
          <w:sz w:val="32"/>
          <w:szCs w:val="32"/>
          <w:highlight w:val="none"/>
          <w:shd w:val="clear" w:color="auto" w:fill="FFFFFF"/>
          <w:lang w:eastAsia="zh-CN"/>
        </w:rPr>
        <w:t>各类检查、交流学习等工作</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费用支出较年初预算数减少0.96万元，下降32.0%，主要原因是严控支出，坚持</w:t>
      </w:r>
      <w:r>
        <w:rPr>
          <w:rFonts w:hint="default" w:ascii="Times New Roman" w:hAnsi="Times New Roman" w:eastAsia="方正仿宋_GBK" w:cs="Times New Roman"/>
          <w:sz w:val="32"/>
          <w:szCs w:val="32"/>
        </w:rPr>
        <w:t>“无预算不支出，超预算不支出的原则”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较上年支出数增加1.59万元，增长353.3%，主要原因是由于今年招商引资活动、各类检查接待等增加，导致公务接待费上涨。</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因公出国（境）共计0个团组，0人；公务用车购置0辆，公务车保有量为1辆；国内公务接待9批次210人，其中：国内外事接待0批次，0人；国（境）外公务接待0批次，0人。2024年本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人均接待费97.26元，车均购置费0万元，车均维护费3.25万元。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val="en-US" w:eastAsia="zh-CN" w:bidi="ar-SA"/>
        </w:rPr>
      </w:pPr>
      <w:r>
        <w:rPr>
          <w:rFonts w:hint="default" w:ascii="方正楷体_GBK" w:hAnsi="方正楷体_GBK" w:eastAsia="方正楷体_GBK" w:cs="方正楷体_GBK"/>
          <w:b w:val="0"/>
          <w:bCs w:val="0"/>
          <w:sz w:val="32"/>
          <w:szCs w:val="32"/>
          <w:shd w:val="clear" w:color="auto" w:fill="FFFFFF"/>
          <w:lang w:val="en-US" w:eastAsia="zh-CN" w:bidi="ar-SA"/>
        </w:rPr>
        <w:t>（一）财政拨款会议费、培训费和差旅费情况说明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本年度培训费支出1.70万元，与2023年度相比，减少0.56万元，下降24.8%，主要原因是培训</w:t>
      </w:r>
      <w:r>
        <w:rPr>
          <w:rFonts w:hint="eastAsia" w:ascii="Times New Roman" w:hAnsi="Times New Roman" w:eastAsia="方正仿宋_GBK" w:cs="Times New Roman"/>
          <w:sz w:val="32"/>
          <w:szCs w:val="32"/>
          <w:shd w:val="clear" w:color="auto" w:fill="FFFFFF"/>
          <w:lang w:eastAsia="zh-CN"/>
        </w:rPr>
        <w:t>次数减少。</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与2023年度相比，无变化</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机关运行经费支出76.49万元，机关运行经费主要用于开支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办公费、水电费、手续费等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机关运行经费较上年支出数减少3.35万元，下降4.2%，主要原因是</w:t>
      </w:r>
      <w:r>
        <w:rPr>
          <w:rFonts w:hint="default" w:ascii="Times New Roman" w:hAnsi="Times New Roman" w:eastAsia="方正仿宋_GBK" w:cs="Times New Roman"/>
          <w:sz w:val="32"/>
          <w:szCs w:val="32"/>
          <w:shd w:val="clear" w:color="auto" w:fill="FFFFFF"/>
          <w:lang w:eastAsia="zh-CN"/>
        </w:rPr>
        <w:t>厉行节约，严控支出。</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12"/>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政府采购支出总额390.28万元，其中：政府采购货物支出1.48万元、政府采购工程支出0.00万元、政府采购服务支出388.80万元。授予中小企业合同金额190.28</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元，占政府采购支出总额的48.8%，其中：授予小微企业合同金额93.48万元，占政府采购支出总额的24.0 %。主要用于采购</w:t>
      </w:r>
      <w:r>
        <w:rPr>
          <w:rFonts w:hint="default" w:ascii="Times New Roman" w:hAnsi="Times New Roman" w:eastAsia="方正仿宋_GBK" w:cs="Times New Roman"/>
          <w:sz w:val="32"/>
          <w:szCs w:val="32"/>
          <w:shd w:val="clear" w:color="auto" w:fill="FFFFFF"/>
          <w:lang w:eastAsia="zh-CN"/>
        </w:rPr>
        <w:t>工程建设服务。</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方正楷体_GBK" w:hAnsi="方正楷体_GBK" w:eastAsia="方正楷体_GBK" w:cs="方正楷体_GBK"/>
          <w:b w:val="0"/>
          <w:bCs w:val="0"/>
          <w:kern w:val="0"/>
          <w:sz w:val="32"/>
          <w:szCs w:val="32"/>
        </w:rPr>
      </w:pPr>
      <w:r>
        <w:rPr>
          <w:rFonts w:hint="default" w:ascii="方正楷体_GBK" w:hAnsi="方正楷体_GBK" w:eastAsia="方正楷体_GBK" w:cs="方正楷体_GBK"/>
          <w:b w:val="0"/>
          <w:bCs w:val="0"/>
          <w:kern w:val="0"/>
          <w:sz w:val="32"/>
          <w:szCs w:val="32"/>
        </w:rPr>
        <w:t>（一）预算绩效管理工作开展情况</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根据预算绩效管理要求，我</w:t>
      </w:r>
      <w:r>
        <w:rPr>
          <w:rFonts w:hint="default" w:ascii="Times New Roman" w:hAnsi="Times New Roman" w:eastAsia="方正仿宋_GBK" w:cs="Times New Roman"/>
          <w:kern w:val="0"/>
          <w:sz w:val="32"/>
          <w:szCs w:val="32"/>
          <w:lang w:eastAsia="zh-CN"/>
        </w:rPr>
        <w:t>单位对</w:t>
      </w:r>
      <w:r>
        <w:rPr>
          <w:rFonts w:hint="default" w:ascii="Times New Roman" w:hAnsi="Times New Roman" w:eastAsia="方正仿宋_GBK" w:cs="Times New Roman"/>
          <w:kern w:val="0"/>
          <w:sz w:val="32"/>
          <w:szCs w:val="32"/>
          <w:lang w:val="en-US" w:eastAsia="zh-CN"/>
        </w:rPr>
        <w:t>35</w:t>
      </w:r>
      <w:r>
        <w:rPr>
          <w:rFonts w:hint="default" w:ascii="Times New Roman" w:hAnsi="Times New Roman" w:eastAsia="方正仿宋_GBK" w:cs="Times New Roman"/>
          <w:kern w:val="0"/>
          <w:sz w:val="32"/>
          <w:szCs w:val="32"/>
        </w:rPr>
        <w:t>个</w:t>
      </w:r>
      <w:r>
        <w:rPr>
          <w:rFonts w:hint="default" w:ascii="Times New Roman" w:hAnsi="Times New Roman" w:eastAsia="方正仿宋_GBK" w:cs="Times New Roman"/>
          <w:kern w:val="0"/>
          <w:sz w:val="32"/>
          <w:szCs w:val="32"/>
          <w:lang w:eastAsia="zh-CN"/>
        </w:rPr>
        <w:t>二级</w:t>
      </w:r>
      <w:r>
        <w:rPr>
          <w:rFonts w:hint="default" w:ascii="Times New Roman" w:hAnsi="Times New Roman" w:eastAsia="方正仿宋_GBK" w:cs="Times New Roman"/>
          <w:kern w:val="0"/>
          <w:sz w:val="32"/>
          <w:szCs w:val="32"/>
        </w:rPr>
        <w:t>项目开展了绩效自评，其中，以填报绩效自评表形式开</w:t>
      </w:r>
      <w:bookmarkStart w:id="0" w:name="_GoBack"/>
      <w:bookmarkEnd w:id="0"/>
      <w:r>
        <w:rPr>
          <w:rFonts w:hint="default" w:ascii="Times New Roman" w:hAnsi="Times New Roman" w:eastAsia="方正仿宋_GBK" w:cs="Times New Roman"/>
          <w:kern w:val="0"/>
          <w:sz w:val="32"/>
          <w:szCs w:val="32"/>
        </w:rPr>
        <w:t>展自评</w:t>
      </w:r>
      <w:r>
        <w:rPr>
          <w:rFonts w:hint="default" w:ascii="Times New Roman" w:hAnsi="Times New Roman" w:eastAsia="方正仿宋_GBK" w:cs="Times New Roman"/>
          <w:kern w:val="0"/>
          <w:sz w:val="32"/>
          <w:szCs w:val="32"/>
          <w:lang w:val="en-US" w:eastAsia="zh-CN"/>
        </w:rPr>
        <w:t>35</w:t>
      </w:r>
      <w:r>
        <w:rPr>
          <w:rFonts w:hint="default" w:ascii="Times New Roman" w:hAnsi="Times New Roman" w:eastAsia="方正仿宋_GBK" w:cs="Times New Roman"/>
          <w:kern w:val="0"/>
          <w:sz w:val="32"/>
          <w:szCs w:val="32"/>
        </w:rPr>
        <w:t>项，涉及资金</w:t>
      </w:r>
      <w:r>
        <w:rPr>
          <w:rFonts w:hint="default" w:ascii="Times New Roman" w:hAnsi="Times New Roman" w:eastAsia="方正仿宋_GBK" w:cs="Times New Roman"/>
          <w:kern w:val="0"/>
          <w:sz w:val="32"/>
          <w:szCs w:val="32"/>
          <w:lang w:val="en-US" w:eastAsia="zh-CN"/>
        </w:rPr>
        <w:t>43336.31</w:t>
      </w:r>
      <w:r>
        <w:rPr>
          <w:rFonts w:hint="default" w:ascii="Times New Roman" w:hAnsi="Times New Roman" w:eastAsia="方正仿宋_GBK" w:cs="Times New Roman"/>
          <w:kern w:val="0"/>
          <w:sz w:val="32"/>
          <w:szCs w:val="32"/>
        </w:rPr>
        <w:t>万元。</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方正楷体_GBK" w:hAnsi="方正楷体_GBK" w:eastAsia="方正楷体_GBK" w:cs="方正楷体_GBK"/>
          <w:b w:val="0"/>
          <w:bCs w:val="0"/>
          <w:kern w:val="0"/>
          <w:sz w:val="32"/>
          <w:szCs w:val="32"/>
        </w:rPr>
      </w:pPr>
      <w:r>
        <w:rPr>
          <w:rFonts w:hint="default" w:ascii="方正楷体_GBK" w:hAnsi="方正楷体_GBK" w:eastAsia="方正楷体_GBK" w:cs="方正楷体_GBK"/>
          <w:b w:val="0"/>
          <w:bCs w:val="0"/>
          <w:kern w:val="0"/>
          <w:sz w:val="32"/>
          <w:szCs w:val="32"/>
        </w:rPr>
        <w:t>（二）绩效自评结果</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1.绩效目标自评表</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详见</w:t>
      </w:r>
      <w:r>
        <w:rPr>
          <w:rFonts w:hint="default" w:ascii="Times New Roman" w:hAnsi="Times New Roman" w:eastAsia="方正仿宋_GBK" w:cs="Times New Roman"/>
          <w:kern w:val="0"/>
          <w:sz w:val="32"/>
          <w:szCs w:val="32"/>
          <w:lang w:val="en-US" w:eastAsia="zh-CN"/>
        </w:rPr>
        <w:t>附件2：重庆市綦江区交通运输委员会二级项目自评表。</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2.绩效自评报告或案例</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无</w:t>
      </w:r>
      <w:r>
        <w:rPr>
          <w:rFonts w:hint="default" w:ascii="Times New Roman" w:hAnsi="Times New Roman" w:eastAsia="方正仿宋_GBK" w:cs="Times New Roman"/>
          <w:kern w:val="0"/>
          <w:sz w:val="32"/>
          <w:szCs w:val="32"/>
        </w:rPr>
        <w:t>。</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3.关于绩效自评结果的说明</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无。</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（三）重点绩效评价结果</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无</w:t>
      </w:r>
      <w:r>
        <w:rPr>
          <w:rFonts w:hint="default" w:ascii="Times New Roman" w:hAnsi="Times New Roman" w:eastAsia="方正仿宋_GBK" w:cs="Times New Roman"/>
          <w:kern w:val="0"/>
          <w:sz w:val="32"/>
          <w:szCs w:val="32"/>
        </w:rPr>
        <w:t>。</w:t>
      </w:r>
    </w:p>
    <w:p>
      <w:pPr>
        <w:pStyle w:val="14"/>
        <w:keepNext w:val="0"/>
        <w:keepLines w:val="0"/>
        <w:pageBreakBefore w:val="0"/>
        <w:widowControl/>
        <w:tabs>
          <w:tab w:val="center" w:pos="4153"/>
          <w:tab w:val="left" w:pos="7275"/>
        </w:tabs>
        <w:kinsoku/>
        <w:wordWrap/>
        <w:overflowPunct/>
        <w:topLinePunct w:val="0"/>
        <w:autoSpaceDN/>
        <w:bidi w:val="0"/>
        <w:adjustRightInd/>
        <w:spacing w:line="576" w:lineRule="exact"/>
        <w:ind w:firstLine="64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kern w:val="0"/>
          <w:sz w:val="32"/>
          <w:szCs w:val="32"/>
          <w:shd w:val="clear" w:fill="FFFFFF"/>
          <w:lang w:eastAsia="zh-CN"/>
        </w:rPr>
        <w:t>熊璐</w:t>
      </w:r>
      <w:r>
        <w:rPr>
          <w:rFonts w:hint="default" w:ascii="Times New Roman" w:hAnsi="Times New Roman" w:eastAsia="方正仿宋_GBK" w:cs="Times New Roman"/>
          <w:kern w:val="0"/>
          <w:sz w:val="32"/>
          <w:szCs w:val="32"/>
          <w:shd w:val="clear" w:fill="FFFFFF"/>
          <w:lang w:val="en-US" w:eastAsia="zh-CN"/>
        </w:rPr>
        <w:t>：</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85886008</w:t>
      </w:r>
    </w:p>
    <w:tbl>
      <w:tblPr>
        <w:tblStyle w:val="11"/>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重庆市綦江区交通运输委员会（本级）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163,665,834.22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111,712,132.88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1,318,376.92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213,801.98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165,453,532.88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153,669,894.32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223,761.00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275,377,967.10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320,879,367.10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45,501,400.00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320,879,367.10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320,879,367.10</w:t>
            </w:r>
          </w:p>
        </w:tc>
      </w:tr>
    </w:tbl>
    <w:p>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12"/>
        <w:numPr>
          <w:ilvl w:val="0"/>
          <w:numId w:val="0"/>
        </w:numPr>
        <w:autoSpaceDE w:val="0"/>
        <w:rPr>
          <w:rFonts w:hint="eastAsia" w:ascii="宋体" w:hAnsi="宋体" w:eastAsia="宋体" w:cs="宋体"/>
          <w:sz w:val="21"/>
          <w:szCs w:val="21"/>
          <w:lang w:val="en-US" w:eastAsia="zh-CN"/>
        </w:rPr>
      </w:pPr>
    </w:p>
    <w:tbl>
      <w:tblPr>
        <w:tblStyle w:val="11"/>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重庆市綦江区交通运输委员会（本级）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275,377,967.10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275,377,967.10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303,693.48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303,693.48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151,840.80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151,840.80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862,842.64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862,842.64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189,801.98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189,801.98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119,952,132.88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119,952,132.88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111,712,132.88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111,712,132.88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2,212,132.88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2,212,132.88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153,669,894.32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153,669,894.32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153,669,894.32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153,669,894.32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2,942,503.21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2,942,503.21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1,909,635.00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1,909,635.00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132,139,709.11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132,139,709.11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15,878,047.00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15,878,047.00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重庆市綦江区交通运输委员会（本级）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320,879,367.10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4,698,443.11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316,180,923.99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1,318,376.92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303,693.48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303,693.48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151,840.80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151,840.80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862,842.64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862,842.64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213,801.98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189,801.98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189,801.98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165,453,532.88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165,453,532.88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157,213,532.88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157,213,532.88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2,212,132.88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2,212,132.88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155,001,400.00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155,001,400.00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153,669,894.32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2,942,503.21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150,727,391.11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153,669,894.32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2,942,503.21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150,727,391.11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2,942,503.21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2,942,503.21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1,909,635.00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1,909,635.00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132,139,709.11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132,139,709.11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15,878,047.00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15,878,047.00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163,665,834.22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111,712,132.88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1,318,376.92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1,318,376.92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213,801.98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213,801.98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165,453,532.88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8,240,000.00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157,213,532.88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153,669,894.32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153,669,894.32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223,761.00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223,761.00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275,377,967.10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320,879,367.10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163,665,834.22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157,213,532.88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45,501,400.00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45,501,400.00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320,879,367.10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320,879,367.10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163,665,834.22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157,213,532.88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重庆市綦江区交通运输委员会（本级）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163,665,834.22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4,698,443.11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158,967,391.11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163,665,834.22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4,698,443.11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158,967,391.11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1,318,376.92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303,693.48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303,693.48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303,693.48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303,693.48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151,840.80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151,840.80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151,840.80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151,840.80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862,842.64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862,842.64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862,842.64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862,842.64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213,801.98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189,801.98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189,801.98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189,801.98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189,801.98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8,240,000.00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8,240,000.00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8,240,000.00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8,240,000.00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8,240,000.00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153,669,894.32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2,942,503.21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150,727,391.11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153,669,894.32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2,942,503.21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150,727,391.11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153,669,894.32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2,942,503.21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150,727,391.11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153,669,894.32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2,942,503.21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150,727,391.11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2,942,503.21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2,942,503.21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2,942,503.21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2,942,503.21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1,909,635.00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1,909,635.00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1,909,635.00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1,909,635.00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132,139,709.11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132,139,709.11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132,139,709.11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132,139,709.11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15,878,047.00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15,878,047.00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15,878,047.00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15,878,047.00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223,761.00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223,761.00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223,761.00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3,109,918.34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764,946.77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759,326.00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289,531.00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466,232.00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929,202.00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1,975.71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303,693.48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82,800.29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151,840.80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189,801.98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28,092.08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223,761.00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33,969.00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823,578.00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16,978.30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20,424.00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674,950.00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17,943.55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27,539.28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141,310.00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96,764.64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3,933,496.34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764,946.77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重庆市綦江区交通运输委员会（本级）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b w:val="0"/>
                <w:bCs w:val="0"/>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45,501,400.00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45,501,400.00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111,712,132.88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111,712,132.88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157,213,532.88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157,213,532.88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45,501,400.00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45,501,400.00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111,712,132.88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111,712,132.88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157,213,532.88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157,213,532.88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45,501,400.00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45,501,400.00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111,712,132.88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111,712,132.88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157,213,532.88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157,213,532.88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2,212,132.88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2,212,132.88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2,212,132.88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2,212,132.88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45,501,400.00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45,501,400.00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155,001,400.00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155,001,400.00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sz w:val="44"/>
                <w:szCs w:val="44"/>
                <w:lang w:val="en-US" w:eastAsia="zh-CN" w:bidi="ar-SA"/>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方正小标宋_GBK" w:hAnsi="方正小标宋_GBK" w:eastAsia="方正小标宋_GBK" w:cs="方正小标宋_GBK"/>
                <w:sz w:val="44"/>
                <w:szCs w:val="44"/>
                <w:lang w:val="en-US" w:eastAsia="zh-CN" w:bidi="ar-SA"/>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重庆市綦江区交通运输委员会（本级）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bCs/>
                <w:i w:val="0"/>
                <w:iCs w:val="0"/>
                <w:color w:val="000000"/>
                <w:sz w:val="22"/>
                <w:szCs w:val="22"/>
                <w:u w:val="none"/>
              </w:rPr>
            </w:pPr>
            <w:r>
              <w:rPr>
                <w:rFonts w:hint="eastAsia" w:ascii="方正黑体_GBK" w:hAnsi="方正黑体_GBK" w:eastAsia="方正黑体_GBK" w:cs="方正黑体_GBK"/>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bCs/>
                <w:i w:val="0"/>
                <w:iCs w:val="0"/>
                <w:color w:val="000000"/>
                <w:sz w:val="22"/>
                <w:szCs w:val="22"/>
                <w:u w:val="none"/>
              </w:rPr>
            </w:pPr>
            <w:r>
              <w:rPr>
                <w:rFonts w:hint="eastAsia" w:ascii="方正黑体_GBK" w:hAnsi="方正黑体_GBK" w:eastAsia="方正黑体_GBK" w:cs="方正黑体_GBK"/>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bCs/>
                <w:i w:val="0"/>
                <w:iCs w:val="0"/>
                <w:color w:val="000000"/>
                <w:sz w:val="22"/>
                <w:szCs w:val="22"/>
                <w:u w:val="none"/>
              </w:rPr>
            </w:pPr>
            <w:r>
              <w:rPr>
                <w:rFonts w:hint="eastAsia" w:ascii="方正黑体_GBK" w:hAnsi="方正黑体_GBK" w:eastAsia="方正黑体_GBK" w:cs="方正黑体_GBK"/>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bCs/>
                <w:i w:val="0"/>
                <w:iCs w:val="0"/>
                <w:color w:val="000000"/>
                <w:sz w:val="22"/>
                <w:szCs w:val="22"/>
                <w:u w:val="none"/>
              </w:rPr>
            </w:pPr>
            <w:r>
              <w:rPr>
                <w:rFonts w:hint="eastAsia" w:ascii="方正黑体_GBK" w:hAnsi="方正黑体_GBK" w:eastAsia="方正黑体_GBK" w:cs="方正黑体_GBK"/>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bCs/>
                <w:i w:val="0"/>
                <w:iCs w:val="0"/>
                <w:color w:val="000000"/>
                <w:sz w:val="22"/>
                <w:szCs w:val="22"/>
                <w:u w:val="none"/>
              </w:rPr>
            </w:pPr>
            <w:r>
              <w:rPr>
                <w:rFonts w:hint="eastAsia" w:ascii="方正黑体_GBK" w:hAnsi="方正黑体_GBK" w:eastAsia="方正黑体_GBK" w:cs="方正黑体_GBK"/>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bCs/>
                <w:i w:val="0"/>
                <w:iCs w:val="0"/>
                <w:color w:val="000000"/>
                <w:sz w:val="22"/>
                <w:szCs w:val="22"/>
                <w:u w:val="none"/>
              </w:rPr>
            </w:pPr>
            <w:r>
              <w:rPr>
                <w:rFonts w:hint="eastAsia" w:ascii="方正黑体_GBK" w:hAnsi="方正黑体_GBK" w:eastAsia="方正黑体_GBK" w:cs="方正黑体_GBK"/>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764,946.77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52,924.00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764,946.77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20,424.00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20,424.00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3,902,767.25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14,767.25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1,902,767.25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934,767.25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16,978.30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p>
                        <w:p>
                          <w:pPr>
                            <w:pStyle w:val="3"/>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rPr>
                        <w:rFonts w:hint="default"/>
                      </w:rPr>
                    </w:pPr>
                  </w:p>
                  <w:p>
                    <w:pPr>
                      <w:pStyle w:val="3"/>
                      <w:rPr>
                        <w:rFonts w:hint="default"/>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46AB3"/>
    <w:multiLevelType w:val="singleLevel"/>
    <w:tmpl w:val="7FE46A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B40D29"/>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6441EF"/>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970D55"/>
    <w:rsid w:val="1BAA2EDC"/>
    <w:rsid w:val="1CE157EE"/>
    <w:rsid w:val="1D014A01"/>
    <w:rsid w:val="1D022362"/>
    <w:rsid w:val="1DD26311"/>
    <w:rsid w:val="1EF67CA4"/>
    <w:rsid w:val="1FCD26AF"/>
    <w:rsid w:val="20642787"/>
    <w:rsid w:val="21556F04"/>
    <w:rsid w:val="22403BD3"/>
    <w:rsid w:val="22557BE6"/>
    <w:rsid w:val="22A151A0"/>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3876E0"/>
    <w:rsid w:val="2F991F8D"/>
    <w:rsid w:val="2FE029D7"/>
    <w:rsid w:val="2FF06E00"/>
    <w:rsid w:val="315D199F"/>
    <w:rsid w:val="315F0B22"/>
    <w:rsid w:val="31D84415"/>
    <w:rsid w:val="32285F6F"/>
    <w:rsid w:val="32770556"/>
    <w:rsid w:val="329C0913"/>
    <w:rsid w:val="3337290D"/>
    <w:rsid w:val="352930DB"/>
    <w:rsid w:val="35573069"/>
    <w:rsid w:val="358C217E"/>
    <w:rsid w:val="359F188C"/>
    <w:rsid w:val="362D2433"/>
    <w:rsid w:val="36355B90"/>
    <w:rsid w:val="365A79E0"/>
    <w:rsid w:val="36C9128A"/>
    <w:rsid w:val="37841E99"/>
    <w:rsid w:val="37BF1123"/>
    <w:rsid w:val="37F26E25"/>
    <w:rsid w:val="38BE4696"/>
    <w:rsid w:val="39166507"/>
    <w:rsid w:val="39B82A39"/>
    <w:rsid w:val="39F33306"/>
    <w:rsid w:val="3A952A67"/>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227615"/>
    <w:rsid w:val="40393ED7"/>
    <w:rsid w:val="405D125B"/>
    <w:rsid w:val="40AD097A"/>
    <w:rsid w:val="40FD5440"/>
    <w:rsid w:val="411B6CE5"/>
    <w:rsid w:val="412070D7"/>
    <w:rsid w:val="41314E40"/>
    <w:rsid w:val="4142353C"/>
    <w:rsid w:val="415C674B"/>
    <w:rsid w:val="426C1EA8"/>
    <w:rsid w:val="42E86A87"/>
    <w:rsid w:val="42F54888"/>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191570"/>
    <w:rsid w:val="543B029D"/>
    <w:rsid w:val="545D0246"/>
    <w:rsid w:val="554E5773"/>
    <w:rsid w:val="555A3CBC"/>
    <w:rsid w:val="56530F5D"/>
    <w:rsid w:val="5842572D"/>
    <w:rsid w:val="5A0F0418"/>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625AB"/>
    <w:rsid w:val="6B474EF5"/>
    <w:rsid w:val="6C560CAE"/>
    <w:rsid w:val="6D0615E4"/>
    <w:rsid w:val="6D8A041F"/>
    <w:rsid w:val="6D903FF5"/>
    <w:rsid w:val="6DA955B8"/>
    <w:rsid w:val="6DE346AB"/>
    <w:rsid w:val="6F513BFA"/>
    <w:rsid w:val="6F7F6A2D"/>
    <w:rsid w:val="6FB442D1"/>
    <w:rsid w:val="6FFB2E76"/>
    <w:rsid w:val="71C34D91"/>
    <w:rsid w:val="71ED38AA"/>
    <w:rsid w:val="720229AA"/>
    <w:rsid w:val="72BB39DF"/>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3D5EAB"/>
    <w:rsid w:val="7FA960B8"/>
    <w:rsid w:val="7FE9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7255</Words>
  <Characters>9440</Characters>
  <Lines>161</Lines>
  <Paragraphs>45</Paragraphs>
  <TotalTime>59</TotalTime>
  <ScaleCrop>false</ScaleCrop>
  <LinksUpToDate>false</LinksUpToDate>
  <CharactersWithSpaces>9703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2025-10-30T06:51:16Z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BB46EABDBB2749749395447164B066B3_12</vt:lpwstr>
  </property>
  <property fmtid="{D5CDD505-2E9C-101B-9397-08002B2CF9AE}" pid="4" name="KSOTemplateDocerSaveRecord">
    <vt:lpwstr>eyJoZGlkIjoiYmQ2Y2I4YWU1MTcyZmVjYWViNTFmMWE5NjQ1ZDAyODEiLCJ1c2VySWQiOiIyOTIyNDM2NzgifQ==</vt:lpwstr>
  </property>
</Properties>
</file>