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_GBK" w:eastAsia="方正小标宋_GBK"/>
          <w:sz w:val="44"/>
          <w:szCs w:val="44"/>
        </w:rPr>
      </w:pPr>
      <w:r>
        <w:rPr>
          <w:rFonts w:hint="eastAsia" w:ascii="方正小标宋_GBK" w:eastAsia="方正小标宋_GBK"/>
          <w:sz w:val="44"/>
          <w:szCs w:val="44"/>
        </w:rPr>
        <w:t>重庆市綦江区公路事务中心</w:t>
      </w:r>
    </w:p>
    <w:p>
      <w:pPr>
        <w:spacing w:line="576" w:lineRule="exact"/>
        <w:jc w:val="center"/>
        <w:rPr>
          <w:rFonts w:ascii="方正小标宋_GBK" w:eastAsia="方正小标宋_GBK"/>
          <w:sz w:val="44"/>
          <w:szCs w:val="44"/>
        </w:rPr>
      </w:pPr>
      <w:r>
        <w:rPr>
          <w:rFonts w:ascii="方正小标宋_GBK" w:eastAsia="方正小标宋_GBK"/>
          <w:sz w:val="44"/>
          <w:szCs w:val="44"/>
        </w:rPr>
        <w:t>2024</w:t>
      </w:r>
      <w:r>
        <w:rPr>
          <w:rFonts w:hint="eastAsia" w:ascii="方正小标宋_GBK" w:eastAsia="方正小标宋_GBK"/>
          <w:sz w:val="44"/>
          <w:szCs w:val="44"/>
        </w:rPr>
        <w:t>年度决算公开说明</w:t>
      </w:r>
    </w:p>
    <w:p>
      <w:pPr>
        <w:spacing w:line="576" w:lineRule="exact"/>
        <w:ind w:firstLine="880" w:firstLineChars="200"/>
        <w:jc w:val="center"/>
        <w:rPr>
          <w:rFonts w:ascii="方正小标宋_GBK" w:eastAsia="方正小标宋_GBK"/>
          <w:sz w:val="44"/>
          <w:szCs w:val="44"/>
        </w:rPr>
      </w:pPr>
    </w:p>
    <w:p>
      <w:pPr>
        <w:spacing w:line="576" w:lineRule="exact"/>
        <w:ind w:firstLine="640" w:firstLineChars="200"/>
        <w:rPr>
          <w:rFonts w:ascii="方正黑体_GBK" w:eastAsia="方正黑体_GBK"/>
          <w:sz w:val="32"/>
          <w:szCs w:val="32"/>
        </w:rPr>
      </w:pPr>
      <w:r>
        <w:rPr>
          <w:rFonts w:hint="eastAsia" w:ascii="方正黑体_GBK" w:eastAsia="方正黑体_GBK"/>
          <w:sz w:val="32"/>
          <w:szCs w:val="32"/>
        </w:rPr>
        <w:t>一、单位基本情况</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（一）职能职责</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贯彻执行有关公路建设、养护、路政、运营相关政策和法律、法规，组织实施公路养护技术标准。</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承担区内国、省、县（乡）道公路、桥梁的建设、养护和管理的事务工作。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承担所管公路养护计划的编制和组织实施工作。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承担区内国、省、县（乡）道公路路网运行管理、公路行业安全和应急管理、区级公路战备的事务工作。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rPr>
        <w:t>承担公路行业生态环境保护、节能减排和行业信息化有关事务工作。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负责公路行业人才队伍建设和教育培养工作。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7.</w:t>
      </w:r>
      <w:r>
        <w:rPr>
          <w:rFonts w:hint="eastAsia" w:ascii="方正仿宋_GBK" w:eastAsia="方正仿宋_GBK"/>
          <w:sz w:val="32"/>
          <w:szCs w:val="32"/>
        </w:rPr>
        <w:t>承担公路服务质量评价、行业信用体系建设、公路政务服务和行业统计等事务工作。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rPr>
        <w:t>承担公路行业精神文明建设工作。</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rPr>
        <w:t>完成区交通</w:t>
      </w:r>
      <w:r>
        <w:rPr>
          <w:rFonts w:hint="eastAsia" w:ascii="方正仿宋_GBK" w:eastAsia="方正仿宋_GBK"/>
          <w:sz w:val="32"/>
          <w:szCs w:val="32"/>
          <w:lang w:eastAsia="zh-CN"/>
        </w:rPr>
        <w:t>运输委</w:t>
      </w:r>
      <w:r>
        <w:rPr>
          <w:rFonts w:hint="eastAsia" w:ascii="方正仿宋_GBK" w:eastAsia="方正仿宋_GBK"/>
          <w:sz w:val="32"/>
          <w:szCs w:val="32"/>
        </w:rPr>
        <w:t>交办的其他任务。</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（二）机构设置</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綦江区公路事务中心属綦江区交通</w:t>
      </w:r>
      <w:r>
        <w:rPr>
          <w:rFonts w:hint="eastAsia" w:ascii="方正仿宋_GBK" w:eastAsia="方正仿宋_GBK"/>
          <w:sz w:val="32"/>
          <w:szCs w:val="32"/>
          <w:lang w:eastAsia="zh-CN"/>
        </w:rPr>
        <w:t>运输委</w:t>
      </w:r>
      <w:r>
        <w:rPr>
          <w:rFonts w:hint="eastAsia" w:ascii="方正仿宋_GBK" w:eastAsia="方正仿宋_GBK"/>
          <w:sz w:val="32"/>
          <w:szCs w:val="32"/>
        </w:rPr>
        <w:t>下属事业单位，共设置</w:t>
      </w:r>
      <w:r>
        <w:rPr>
          <w:rFonts w:ascii="方正仿宋_GBK" w:eastAsia="方正仿宋_GBK"/>
          <w:sz w:val="32"/>
          <w:szCs w:val="32"/>
        </w:rPr>
        <w:t>6</w:t>
      </w:r>
      <w:r>
        <w:rPr>
          <w:rFonts w:hint="eastAsia" w:ascii="方正仿宋_GBK" w:eastAsia="方正仿宋_GBK"/>
          <w:sz w:val="32"/>
          <w:szCs w:val="32"/>
        </w:rPr>
        <w:t>个科室（组织人事科、</w:t>
      </w:r>
      <w:bookmarkStart w:id="0" w:name="_GoBack"/>
      <w:bookmarkEnd w:id="0"/>
      <w:r>
        <w:rPr>
          <w:rFonts w:hint="eastAsia" w:ascii="方正仿宋_GBK" w:eastAsia="方正仿宋_GBK"/>
          <w:sz w:val="32"/>
          <w:szCs w:val="32"/>
        </w:rPr>
        <w:t>安全科、计划财务科、养护管理科、建设管理科、材料设备管理科）、</w:t>
      </w:r>
      <w:r>
        <w:rPr>
          <w:rFonts w:ascii="方正仿宋_GBK" w:eastAsia="方正仿宋_GBK"/>
          <w:sz w:val="32"/>
          <w:szCs w:val="32"/>
        </w:rPr>
        <w:t>1</w:t>
      </w:r>
      <w:r>
        <w:rPr>
          <w:rFonts w:hint="eastAsia" w:ascii="方正仿宋_GBK" w:eastAsia="方正仿宋_GBK"/>
          <w:sz w:val="32"/>
          <w:szCs w:val="32"/>
        </w:rPr>
        <w:t>个办公室。</w:t>
      </w:r>
    </w:p>
    <w:p>
      <w:pPr>
        <w:spacing w:line="576" w:lineRule="exact"/>
        <w:ind w:firstLine="640" w:firstLineChars="200"/>
        <w:rPr>
          <w:rFonts w:ascii="方正黑体_GBK" w:eastAsia="方正黑体_GBK"/>
          <w:sz w:val="32"/>
          <w:szCs w:val="32"/>
        </w:rPr>
      </w:pPr>
      <w:r>
        <w:rPr>
          <w:rFonts w:hint="eastAsia" w:ascii="方正黑体_GBK" w:eastAsia="方正黑体_GBK"/>
          <w:sz w:val="32"/>
          <w:szCs w:val="32"/>
        </w:rPr>
        <w:t>二、单位决算情况说明</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（一）收入支出决算总体情况说明</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2024</w:t>
      </w:r>
      <w:r>
        <w:rPr>
          <w:rFonts w:hint="eastAsia" w:ascii="方正仿宋_GBK" w:eastAsia="方正仿宋_GBK"/>
          <w:sz w:val="32"/>
          <w:szCs w:val="32"/>
        </w:rPr>
        <w:t>年度收、支总计均为</w:t>
      </w:r>
      <w:r>
        <w:rPr>
          <w:rFonts w:ascii="方正仿宋_GBK" w:eastAsia="方正仿宋_GBK"/>
          <w:sz w:val="32"/>
          <w:szCs w:val="32"/>
        </w:rPr>
        <w:t>11000.98</w:t>
      </w:r>
      <w:r>
        <w:rPr>
          <w:rFonts w:hint="eastAsia" w:ascii="方正仿宋_GBK" w:eastAsia="方正仿宋_GBK"/>
          <w:sz w:val="32"/>
          <w:szCs w:val="32"/>
        </w:rPr>
        <w:t>万元。收、支与</w:t>
      </w:r>
      <w:r>
        <w:rPr>
          <w:rFonts w:ascii="方正仿宋_GBK" w:eastAsia="方正仿宋_GBK"/>
          <w:sz w:val="32"/>
          <w:szCs w:val="32"/>
        </w:rPr>
        <w:t>2023</w:t>
      </w:r>
      <w:r>
        <w:rPr>
          <w:rFonts w:hint="eastAsia" w:ascii="方正仿宋_GBK" w:eastAsia="方正仿宋_GBK"/>
          <w:sz w:val="32"/>
          <w:szCs w:val="32"/>
        </w:rPr>
        <w:t>年度相比，增加</w:t>
      </w:r>
      <w:r>
        <w:rPr>
          <w:rFonts w:ascii="方正仿宋_GBK" w:eastAsia="方正仿宋_GBK"/>
          <w:sz w:val="32"/>
          <w:szCs w:val="32"/>
        </w:rPr>
        <w:t>672.42</w:t>
      </w:r>
      <w:r>
        <w:rPr>
          <w:rFonts w:hint="eastAsia" w:ascii="方正仿宋_GBK" w:eastAsia="方正仿宋_GBK"/>
          <w:sz w:val="32"/>
          <w:szCs w:val="32"/>
        </w:rPr>
        <w:t>万元，增长</w:t>
      </w:r>
      <w:r>
        <w:rPr>
          <w:rFonts w:ascii="方正仿宋_GBK" w:eastAsia="方正仿宋_GBK"/>
          <w:sz w:val="32"/>
          <w:szCs w:val="32"/>
        </w:rPr>
        <w:t>6.5%</w:t>
      </w:r>
      <w:r>
        <w:rPr>
          <w:rFonts w:hint="eastAsia" w:ascii="方正仿宋_GBK" w:eastAsia="方正仿宋_GBK"/>
          <w:sz w:val="32"/>
          <w:szCs w:val="32"/>
        </w:rPr>
        <w:t>，主要原因是主要为本年增加了护栏采购和安装项目。</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收入情况。</w:t>
      </w:r>
      <w:r>
        <w:rPr>
          <w:rFonts w:ascii="方正仿宋_GBK" w:eastAsia="方正仿宋_GBK"/>
          <w:sz w:val="32"/>
          <w:szCs w:val="32"/>
        </w:rPr>
        <w:t>2024</w:t>
      </w:r>
      <w:r>
        <w:rPr>
          <w:rFonts w:hint="eastAsia" w:ascii="方正仿宋_GBK" w:eastAsia="方正仿宋_GBK"/>
          <w:sz w:val="32"/>
          <w:szCs w:val="32"/>
        </w:rPr>
        <w:t>年度收入合计</w:t>
      </w:r>
      <w:r>
        <w:rPr>
          <w:rFonts w:ascii="方正仿宋_GBK" w:eastAsia="方正仿宋_GBK"/>
          <w:sz w:val="32"/>
          <w:szCs w:val="32"/>
        </w:rPr>
        <w:t>11000.98</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年度相比，增加</w:t>
      </w:r>
      <w:r>
        <w:rPr>
          <w:rFonts w:ascii="方正仿宋_GBK" w:eastAsia="方正仿宋_GBK"/>
          <w:sz w:val="32"/>
          <w:szCs w:val="32"/>
        </w:rPr>
        <w:t>672.42</w:t>
      </w:r>
      <w:r>
        <w:rPr>
          <w:rFonts w:hint="eastAsia" w:ascii="方正仿宋_GBK" w:eastAsia="方正仿宋_GBK"/>
          <w:sz w:val="32"/>
          <w:szCs w:val="32"/>
        </w:rPr>
        <w:t>万元，增长</w:t>
      </w:r>
      <w:r>
        <w:rPr>
          <w:rFonts w:ascii="方正仿宋_GBK" w:eastAsia="方正仿宋_GBK"/>
          <w:sz w:val="32"/>
          <w:szCs w:val="32"/>
        </w:rPr>
        <w:t>6.5%</w:t>
      </w:r>
      <w:r>
        <w:rPr>
          <w:rFonts w:hint="eastAsia" w:ascii="方正仿宋_GBK" w:eastAsia="方正仿宋_GBK"/>
          <w:sz w:val="32"/>
          <w:szCs w:val="32"/>
        </w:rPr>
        <w:t>，主要为本年增加了护栏采购和安装项目。其中：财政拨款收入</w:t>
      </w:r>
      <w:r>
        <w:rPr>
          <w:rFonts w:ascii="方正仿宋_GBK" w:eastAsia="方正仿宋_GBK"/>
          <w:sz w:val="32"/>
          <w:szCs w:val="32"/>
        </w:rPr>
        <w:t>11000.98</w:t>
      </w:r>
      <w:r>
        <w:rPr>
          <w:rFonts w:hint="eastAsia" w:ascii="方正仿宋_GBK" w:eastAsia="方正仿宋_GBK"/>
          <w:sz w:val="32"/>
          <w:szCs w:val="32"/>
        </w:rPr>
        <w:t>万元，占</w:t>
      </w:r>
      <w:r>
        <w:rPr>
          <w:rFonts w:ascii="方正仿宋_GBK" w:eastAsia="方正仿宋_GBK"/>
          <w:sz w:val="32"/>
          <w:szCs w:val="32"/>
        </w:rPr>
        <w:t>100.0%</w:t>
      </w:r>
      <w:r>
        <w:rPr>
          <w:rFonts w:hint="eastAsia" w:ascii="方正仿宋_GBK" w:eastAsia="方正仿宋_GBK"/>
          <w:sz w:val="32"/>
          <w:szCs w:val="32"/>
        </w:rPr>
        <w:t>。</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支出情况。</w:t>
      </w:r>
      <w:r>
        <w:rPr>
          <w:rFonts w:ascii="方正仿宋_GBK" w:eastAsia="方正仿宋_GBK"/>
          <w:sz w:val="32"/>
          <w:szCs w:val="32"/>
        </w:rPr>
        <w:t>2024</w:t>
      </w:r>
      <w:r>
        <w:rPr>
          <w:rFonts w:hint="eastAsia" w:ascii="方正仿宋_GBK" w:eastAsia="方正仿宋_GBK"/>
          <w:sz w:val="32"/>
          <w:szCs w:val="32"/>
        </w:rPr>
        <w:t>年度支出合计</w:t>
      </w:r>
      <w:r>
        <w:rPr>
          <w:rFonts w:ascii="方正仿宋_GBK" w:eastAsia="方正仿宋_GBK"/>
          <w:sz w:val="32"/>
          <w:szCs w:val="32"/>
        </w:rPr>
        <w:t>11000.98</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年度相比，增加</w:t>
      </w:r>
      <w:r>
        <w:rPr>
          <w:rFonts w:ascii="方正仿宋_GBK" w:eastAsia="方正仿宋_GBK"/>
          <w:sz w:val="32"/>
          <w:szCs w:val="32"/>
        </w:rPr>
        <w:t>672.42</w:t>
      </w:r>
      <w:r>
        <w:rPr>
          <w:rFonts w:hint="eastAsia" w:ascii="方正仿宋_GBK" w:eastAsia="方正仿宋_GBK"/>
          <w:sz w:val="32"/>
          <w:szCs w:val="32"/>
        </w:rPr>
        <w:t>万元，增长</w:t>
      </w:r>
      <w:r>
        <w:rPr>
          <w:rFonts w:ascii="方正仿宋_GBK" w:eastAsia="方正仿宋_GBK"/>
          <w:sz w:val="32"/>
          <w:szCs w:val="32"/>
        </w:rPr>
        <w:t>6.5%</w:t>
      </w:r>
      <w:r>
        <w:rPr>
          <w:rFonts w:hint="eastAsia" w:ascii="方正仿宋_GBK" w:eastAsia="方正仿宋_GBK"/>
          <w:sz w:val="32"/>
          <w:szCs w:val="32"/>
        </w:rPr>
        <w:t>，主要原因是本年增加了护栏采购和安装项目。其中：基本支出</w:t>
      </w:r>
      <w:r>
        <w:rPr>
          <w:rFonts w:ascii="方正仿宋_GBK" w:eastAsia="方正仿宋_GBK"/>
          <w:sz w:val="32"/>
          <w:szCs w:val="32"/>
        </w:rPr>
        <w:t>3635.09</w:t>
      </w:r>
      <w:r>
        <w:rPr>
          <w:rFonts w:hint="eastAsia" w:ascii="方正仿宋_GBK" w:eastAsia="方正仿宋_GBK"/>
          <w:sz w:val="32"/>
          <w:szCs w:val="32"/>
        </w:rPr>
        <w:t>万元，占</w:t>
      </w:r>
      <w:r>
        <w:rPr>
          <w:rFonts w:ascii="方正仿宋_GBK" w:eastAsia="方正仿宋_GBK"/>
          <w:sz w:val="32"/>
          <w:szCs w:val="32"/>
        </w:rPr>
        <w:t>33.0%</w:t>
      </w:r>
      <w:r>
        <w:rPr>
          <w:rFonts w:hint="eastAsia" w:ascii="方正仿宋_GBK" w:eastAsia="方正仿宋_GBK"/>
          <w:sz w:val="32"/>
          <w:szCs w:val="32"/>
        </w:rPr>
        <w:t>；项目支出</w:t>
      </w:r>
      <w:r>
        <w:rPr>
          <w:rFonts w:ascii="方正仿宋_GBK" w:eastAsia="方正仿宋_GBK"/>
          <w:sz w:val="32"/>
          <w:szCs w:val="32"/>
        </w:rPr>
        <w:t>7365.89</w:t>
      </w:r>
      <w:r>
        <w:rPr>
          <w:rFonts w:hint="eastAsia" w:ascii="方正仿宋_GBK" w:eastAsia="方正仿宋_GBK"/>
          <w:sz w:val="32"/>
          <w:szCs w:val="32"/>
        </w:rPr>
        <w:t>万元，占</w:t>
      </w:r>
      <w:r>
        <w:rPr>
          <w:rFonts w:ascii="方正仿宋_GBK" w:eastAsia="方正仿宋_GBK"/>
          <w:sz w:val="32"/>
          <w:szCs w:val="32"/>
        </w:rPr>
        <w:t>67.0%</w:t>
      </w:r>
      <w:r>
        <w:rPr>
          <w:rFonts w:hint="eastAsia" w:ascii="方正仿宋_GBK" w:eastAsia="方正仿宋_GBK"/>
          <w:sz w:val="32"/>
          <w:szCs w:val="32"/>
        </w:rPr>
        <w:t>。</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结转结余情况。</w:t>
      </w:r>
      <w:r>
        <w:rPr>
          <w:rFonts w:ascii="方正仿宋_GBK" w:eastAsia="方正仿宋_GBK"/>
          <w:sz w:val="32"/>
          <w:szCs w:val="32"/>
        </w:rPr>
        <w:t>2024</w:t>
      </w:r>
      <w:r>
        <w:rPr>
          <w:rFonts w:hint="eastAsia" w:ascii="方正仿宋_GBK" w:eastAsia="方正仿宋_GBK"/>
          <w:sz w:val="32"/>
          <w:szCs w:val="32"/>
        </w:rPr>
        <w:t>年度年末结转和结余</w:t>
      </w:r>
      <w:r>
        <w:rPr>
          <w:rFonts w:ascii="方正仿宋_GBK" w:eastAsia="方正仿宋_GBK"/>
          <w:sz w:val="32"/>
          <w:szCs w:val="32"/>
        </w:rPr>
        <w:t>0.00</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年度相比，无增减。主要原因是根据财政政策要求，不做年末结转。</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（二）财政拨款收入支出决算总体情况说明</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2024</w:t>
      </w:r>
      <w:r>
        <w:rPr>
          <w:rFonts w:hint="eastAsia" w:ascii="方正仿宋_GBK" w:eastAsia="方正仿宋_GBK"/>
          <w:sz w:val="32"/>
          <w:szCs w:val="32"/>
        </w:rPr>
        <w:t>年度财政拨款收、支总计均为</w:t>
      </w:r>
      <w:r>
        <w:rPr>
          <w:rFonts w:ascii="方正仿宋_GBK" w:eastAsia="方正仿宋_GBK"/>
          <w:sz w:val="32"/>
          <w:szCs w:val="32"/>
        </w:rPr>
        <w:t>11000.98</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年度相比，财政拨款收、支总计各增加</w:t>
      </w:r>
      <w:r>
        <w:rPr>
          <w:rFonts w:ascii="方正仿宋_GBK" w:eastAsia="方正仿宋_GBK"/>
          <w:sz w:val="32"/>
          <w:szCs w:val="32"/>
        </w:rPr>
        <w:t>672.42</w:t>
      </w:r>
      <w:r>
        <w:rPr>
          <w:rFonts w:hint="eastAsia" w:ascii="方正仿宋_GBK" w:eastAsia="方正仿宋_GBK"/>
          <w:sz w:val="32"/>
          <w:szCs w:val="32"/>
        </w:rPr>
        <w:t>万元，增长</w:t>
      </w:r>
      <w:r>
        <w:rPr>
          <w:rFonts w:ascii="方正仿宋_GBK" w:eastAsia="方正仿宋_GBK"/>
          <w:sz w:val="32"/>
          <w:szCs w:val="32"/>
        </w:rPr>
        <w:t>6.5%</w:t>
      </w:r>
      <w:r>
        <w:rPr>
          <w:rFonts w:hint="eastAsia" w:ascii="方正仿宋_GBK" w:eastAsia="方正仿宋_GBK"/>
          <w:sz w:val="32"/>
          <w:szCs w:val="32"/>
        </w:rPr>
        <w:t>。主要原因是增加了护栏采购和安装项目。</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（三）一般公共预算财政拨款收入支出决算情况说明</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收入情况。</w:t>
      </w:r>
      <w:r>
        <w:rPr>
          <w:rFonts w:ascii="方正仿宋_GBK" w:eastAsia="方正仿宋_GBK"/>
          <w:sz w:val="32"/>
          <w:szCs w:val="32"/>
        </w:rPr>
        <w:t>2024</w:t>
      </w:r>
      <w:r>
        <w:rPr>
          <w:rFonts w:hint="eastAsia" w:ascii="方正仿宋_GBK" w:eastAsia="方正仿宋_GBK"/>
          <w:sz w:val="32"/>
          <w:szCs w:val="32"/>
        </w:rPr>
        <w:t>年度一般公共预算财政拨款收入</w:t>
      </w:r>
      <w:r>
        <w:rPr>
          <w:rFonts w:ascii="方正仿宋_GBK" w:eastAsia="方正仿宋_GBK"/>
          <w:sz w:val="32"/>
          <w:szCs w:val="32"/>
        </w:rPr>
        <w:t>8851.98</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年度相比，减少</w:t>
      </w:r>
      <w:r>
        <w:rPr>
          <w:rFonts w:ascii="方正仿宋_GBK" w:eastAsia="方正仿宋_GBK"/>
          <w:sz w:val="32"/>
          <w:szCs w:val="32"/>
        </w:rPr>
        <w:t>1476.58</w:t>
      </w:r>
      <w:r>
        <w:rPr>
          <w:rFonts w:hint="eastAsia" w:ascii="方正仿宋_GBK" w:eastAsia="方正仿宋_GBK"/>
          <w:sz w:val="32"/>
          <w:szCs w:val="32"/>
        </w:rPr>
        <w:t>万元，下降</w:t>
      </w:r>
      <w:r>
        <w:rPr>
          <w:rFonts w:ascii="方正仿宋_GBK" w:eastAsia="方正仿宋_GBK"/>
          <w:sz w:val="32"/>
          <w:szCs w:val="32"/>
        </w:rPr>
        <w:t>14.3%</w:t>
      </w:r>
      <w:r>
        <w:rPr>
          <w:rFonts w:hint="eastAsia" w:ascii="方正仿宋_GBK" w:eastAsia="方正仿宋_GBK"/>
          <w:sz w:val="32"/>
          <w:szCs w:val="32"/>
        </w:rPr>
        <w:t>。较年初预算数增加</w:t>
      </w:r>
      <w:r>
        <w:rPr>
          <w:rFonts w:ascii="方正仿宋_GBK" w:eastAsia="方正仿宋_GBK"/>
          <w:sz w:val="32"/>
          <w:szCs w:val="32"/>
        </w:rPr>
        <w:t>1979.30</w:t>
      </w:r>
      <w:r>
        <w:rPr>
          <w:rFonts w:hint="eastAsia" w:ascii="方正仿宋_GBK" w:eastAsia="方正仿宋_GBK"/>
          <w:sz w:val="32"/>
          <w:szCs w:val="32"/>
        </w:rPr>
        <w:t>万元，增长</w:t>
      </w:r>
      <w:r>
        <w:rPr>
          <w:rFonts w:ascii="方正仿宋_GBK" w:eastAsia="方正仿宋_GBK"/>
          <w:sz w:val="32"/>
          <w:szCs w:val="32"/>
        </w:rPr>
        <w:t>28.8%</w:t>
      </w:r>
      <w:r>
        <w:rPr>
          <w:rFonts w:hint="eastAsia" w:ascii="方正仿宋_GBK" w:eastAsia="方正仿宋_GBK"/>
          <w:sz w:val="32"/>
          <w:szCs w:val="32"/>
        </w:rPr>
        <w:t>。主要原因是增加了护栏采购和安装项目。</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支出情况。</w:t>
      </w:r>
      <w:r>
        <w:rPr>
          <w:rFonts w:ascii="方正仿宋_GBK" w:eastAsia="方正仿宋_GBK"/>
          <w:sz w:val="32"/>
          <w:szCs w:val="32"/>
        </w:rPr>
        <w:t>2024</w:t>
      </w:r>
      <w:r>
        <w:rPr>
          <w:rFonts w:hint="eastAsia" w:ascii="方正仿宋_GBK" w:eastAsia="方正仿宋_GBK"/>
          <w:sz w:val="32"/>
          <w:szCs w:val="32"/>
        </w:rPr>
        <w:t>年度一般公共预算财政拨款支出</w:t>
      </w:r>
      <w:r>
        <w:rPr>
          <w:rFonts w:ascii="方正仿宋_GBK" w:eastAsia="方正仿宋_GBK"/>
          <w:sz w:val="32"/>
          <w:szCs w:val="32"/>
        </w:rPr>
        <w:t>8851.98</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年度相比，减少</w:t>
      </w:r>
      <w:r>
        <w:rPr>
          <w:rFonts w:ascii="方正仿宋_GBK" w:eastAsia="方正仿宋_GBK"/>
          <w:sz w:val="32"/>
          <w:szCs w:val="32"/>
        </w:rPr>
        <w:t>1476.58</w:t>
      </w:r>
      <w:r>
        <w:rPr>
          <w:rFonts w:hint="eastAsia" w:ascii="方正仿宋_GBK" w:eastAsia="方正仿宋_GBK"/>
          <w:sz w:val="32"/>
          <w:szCs w:val="32"/>
        </w:rPr>
        <w:t>万元，下降</w:t>
      </w:r>
      <w:r>
        <w:rPr>
          <w:rFonts w:ascii="方正仿宋_GBK" w:eastAsia="方正仿宋_GBK"/>
          <w:sz w:val="32"/>
          <w:szCs w:val="32"/>
        </w:rPr>
        <w:t>14.3%</w:t>
      </w:r>
      <w:r>
        <w:rPr>
          <w:rFonts w:hint="eastAsia" w:ascii="方正仿宋_GBK" w:eastAsia="方正仿宋_GBK"/>
          <w:sz w:val="32"/>
          <w:szCs w:val="32"/>
        </w:rPr>
        <w:t>。较年初预算数增加</w:t>
      </w:r>
      <w:r>
        <w:rPr>
          <w:rFonts w:ascii="方正仿宋_GBK" w:eastAsia="方正仿宋_GBK"/>
          <w:sz w:val="32"/>
          <w:szCs w:val="32"/>
        </w:rPr>
        <w:t>1979.30</w:t>
      </w:r>
      <w:r>
        <w:rPr>
          <w:rFonts w:hint="eastAsia" w:ascii="方正仿宋_GBK" w:eastAsia="方正仿宋_GBK"/>
          <w:sz w:val="32"/>
          <w:szCs w:val="32"/>
        </w:rPr>
        <w:t>万元，增长</w:t>
      </w:r>
      <w:r>
        <w:rPr>
          <w:rFonts w:ascii="方正仿宋_GBK" w:eastAsia="方正仿宋_GBK"/>
          <w:sz w:val="32"/>
          <w:szCs w:val="32"/>
        </w:rPr>
        <w:t>28.8%</w:t>
      </w:r>
      <w:r>
        <w:rPr>
          <w:rFonts w:hint="eastAsia" w:ascii="方正仿宋_GBK" w:eastAsia="方正仿宋_GBK"/>
          <w:sz w:val="32"/>
          <w:szCs w:val="32"/>
        </w:rPr>
        <w:t>。主要原因是增加了护栏采购和安装项目。</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一般公共预算财政拨款支出主要用途如下：</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1</w:t>
      </w:r>
      <w:r>
        <w:rPr>
          <w:rFonts w:hint="eastAsia" w:ascii="方正仿宋_GBK" w:eastAsia="方正仿宋_GBK"/>
          <w:sz w:val="32"/>
          <w:szCs w:val="32"/>
        </w:rPr>
        <w:t>）社会保障和就业支出</w:t>
      </w:r>
      <w:r>
        <w:rPr>
          <w:rFonts w:ascii="方正仿宋_GBK" w:eastAsia="方正仿宋_GBK"/>
          <w:sz w:val="32"/>
          <w:szCs w:val="32"/>
        </w:rPr>
        <w:t>1360.49</w:t>
      </w:r>
      <w:r>
        <w:rPr>
          <w:rFonts w:hint="eastAsia" w:ascii="方正仿宋_GBK" w:eastAsia="方正仿宋_GBK"/>
          <w:sz w:val="32"/>
          <w:szCs w:val="32"/>
        </w:rPr>
        <w:t>万元，占</w:t>
      </w:r>
      <w:r>
        <w:rPr>
          <w:rFonts w:ascii="方正仿宋_GBK" w:eastAsia="方正仿宋_GBK"/>
          <w:sz w:val="32"/>
          <w:szCs w:val="32"/>
        </w:rPr>
        <w:t>15.4%</w:t>
      </w:r>
      <w:r>
        <w:rPr>
          <w:rFonts w:hint="eastAsia" w:ascii="方正仿宋_GBK" w:eastAsia="方正仿宋_GBK"/>
          <w:sz w:val="32"/>
          <w:szCs w:val="32"/>
        </w:rPr>
        <w:t>，较年初预算数增加</w:t>
      </w:r>
      <w:r>
        <w:rPr>
          <w:rFonts w:ascii="方正仿宋_GBK" w:eastAsia="方正仿宋_GBK"/>
          <w:sz w:val="32"/>
          <w:szCs w:val="32"/>
        </w:rPr>
        <w:t>226.09</w:t>
      </w:r>
      <w:r>
        <w:rPr>
          <w:rFonts w:hint="eastAsia" w:ascii="方正仿宋_GBK" w:eastAsia="方正仿宋_GBK"/>
          <w:sz w:val="32"/>
          <w:szCs w:val="32"/>
        </w:rPr>
        <w:t>万元，增长</w:t>
      </w:r>
      <w:r>
        <w:rPr>
          <w:rFonts w:ascii="方正仿宋_GBK" w:eastAsia="方正仿宋_GBK"/>
          <w:sz w:val="32"/>
          <w:szCs w:val="32"/>
        </w:rPr>
        <w:t>19.9%</w:t>
      </w:r>
      <w:r>
        <w:rPr>
          <w:rFonts w:hint="eastAsia" w:ascii="方正仿宋_GBK" w:eastAsia="方正仿宋_GBK"/>
          <w:sz w:val="32"/>
          <w:szCs w:val="32"/>
        </w:rPr>
        <w:t>，主要原因是年中综合目标考核奖（事业离退休）指标有所调剂。</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2</w:t>
      </w:r>
      <w:r>
        <w:rPr>
          <w:rFonts w:hint="eastAsia" w:ascii="方正仿宋_GBK" w:eastAsia="方正仿宋_GBK"/>
          <w:sz w:val="32"/>
          <w:szCs w:val="32"/>
        </w:rPr>
        <w:t>）卫生健康支出</w:t>
      </w:r>
      <w:r>
        <w:rPr>
          <w:rFonts w:ascii="方正仿宋_GBK" w:eastAsia="方正仿宋_GBK"/>
          <w:sz w:val="32"/>
          <w:szCs w:val="32"/>
        </w:rPr>
        <w:t>135.03</w:t>
      </w:r>
      <w:r>
        <w:rPr>
          <w:rFonts w:hint="eastAsia" w:ascii="方正仿宋_GBK" w:eastAsia="方正仿宋_GBK"/>
          <w:sz w:val="32"/>
          <w:szCs w:val="32"/>
        </w:rPr>
        <w:t>万元，占</w:t>
      </w:r>
      <w:r>
        <w:rPr>
          <w:rFonts w:ascii="方正仿宋_GBK" w:eastAsia="方正仿宋_GBK"/>
          <w:sz w:val="32"/>
          <w:szCs w:val="32"/>
        </w:rPr>
        <w:t>1.5%</w:t>
      </w:r>
      <w:r>
        <w:rPr>
          <w:rFonts w:hint="eastAsia" w:ascii="方正仿宋_GBK" w:eastAsia="方正仿宋_GBK"/>
          <w:sz w:val="32"/>
          <w:szCs w:val="32"/>
        </w:rPr>
        <w:t>，较年初预算数减少</w:t>
      </w:r>
      <w:r>
        <w:rPr>
          <w:rFonts w:ascii="方正仿宋_GBK" w:eastAsia="方正仿宋_GBK"/>
          <w:sz w:val="32"/>
          <w:szCs w:val="32"/>
        </w:rPr>
        <w:t>4.62</w:t>
      </w:r>
      <w:r>
        <w:rPr>
          <w:rFonts w:hint="eastAsia" w:ascii="方正仿宋_GBK" w:eastAsia="方正仿宋_GBK"/>
          <w:sz w:val="32"/>
          <w:szCs w:val="32"/>
        </w:rPr>
        <w:t>万元，下降</w:t>
      </w:r>
      <w:r>
        <w:rPr>
          <w:rFonts w:ascii="方正仿宋_GBK" w:eastAsia="方正仿宋_GBK"/>
          <w:sz w:val="32"/>
          <w:szCs w:val="32"/>
        </w:rPr>
        <w:t>3.3%</w:t>
      </w:r>
      <w:r>
        <w:rPr>
          <w:rFonts w:hint="eastAsia" w:ascii="方正仿宋_GBK" w:eastAsia="方正仿宋_GBK"/>
          <w:sz w:val="32"/>
          <w:szCs w:val="32"/>
        </w:rPr>
        <w:t>，主要原因是在职人员减少。</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3</w:t>
      </w:r>
      <w:r>
        <w:rPr>
          <w:rFonts w:hint="eastAsia" w:ascii="方正仿宋_GBK" w:eastAsia="方正仿宋_GBK"/>
          <w:sz w:val="32"/>
          <w:szCs w:val="32"/>
        </w:rPr>
        <w:t>）交通运输支出</w:t>
      </w:r>
      <w:r>
        <w:rPr>
          <w:rFonts w:ascii="方正仿宋_GBK" w:eastAsia="方正仿宋_GBK"/>
          <w:sz w:val="32"/>
          <w:szCs w:val="32"/>
        </w:rPr>
        <w:t>7246.92</w:t>
      </w:r>
      <w:r>
        <w:rPr>
          <w:rFonts w:hint="eastAsia" w:ascii="方正仿宋_GBK" w:eastAsia="方正仿宋_GBK"/>
          <w:sz w:val="32"/>
          <w:szCs w:val="32"/>
        </w:rPr>
        <w:t>万元，占</w:t>
      </w:r>
      <w:r>
        <w:rPr>
          <w:rFonts w:ascii="方正仿宋_GBK" w:eastAsia="方正仿宋_GBK"/>
          <w:sz w:val="32"/>
          <w:szCs w:val="32"/>
        </w:rPr>
        <w:t>81.9%</w:t>
      </w:r>
      <w:r>
        <w:rPr>
          <w:rFonts w:hint="eastAsia" w:ascii="方正仿宋_GBK" w:eastAsia="方正仿宋_GBK"/>
          <w:sz w:val="32"/>
          <w:szCs w:val="32"/>
        </w:rPr>
        <w:t>，较年初预算数增加</w:t>
      </w:r>
      <w:r>
        <w:rPr>
          <w:rFonts w:ascii="方正仿宋_GBK" w:eastAsia="方正仿宋_GBK"/>
          <w:sz w:val="32"/>
          <w:szCs w:val="32"/>
        </w:rPr>
        <w:t>1763.94</w:t>
      </w:r>
      <w:r>
        <w:rPr>
          <w:rFonts w:hint="eastAsia" w:ascii="方正仿宋_GBK" w:eastAsia="方正仿宋_GBK"/>
          <w:sz w:val="32"/>
          <w:szCs w:val="32"/>
        </w:rPr>
        <w:t>万元，增长</w:t>
      </w:r>
      <w:r>
        <w:rPr>
          <w:rFonts w:ascii="方正仿宋_GBK" w:eastAsia="方正仿宋_GBK"/>
          <w:sz w:val="32"/>
          <w:szCs w:val="32"/>
        </w:rPr>
        <w:t>32.2%</w:t>
      </w:r>
      <w:r>
        <w:rPr>
          <w:rFonts w:hint="eastAsia" w:ascii="方正仿宋_GBK" w:eastAsia="方正仿宋_GBK"/>
          <w:sz w:val="32"/>
          <w:szCs w:val="32"/>
        </w:rPr>
        <w:t>，主要原因是增加了护栏采购和安装项目。</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4</w:t>
      </w:r>
      <w:r>
        <w:rPr>
          <w:rFonts w:hint="eastAsia" w:ascii="方正仿宋_GBK" w:eastAsia="方正仿宋_GBK"/>
          <w:sz w:val="32"/>
          <w:szCs w:val="32"/>
        </w:rPr>
        <w:t>）住房保障支出</w:t>
      </w:r>
      <w:r>
        <w:rPr>
          <w:rFonts w:ascii="方正仿宋_GBK" w:eastAsia="方正仿宋_GBK"/>
          <w:sz w:val="32"/>
          <w:szCs w:val="32"/>
        </w:rPr>
        <w:t>109.54</w:t>
      </w:r>
      <w:r>
        <w:rPr>
          <w:rFonts w:hint="eastAsia" w:ascii="方正仿宋_GBK" w:eastAsia="方正仿宋_GBK"/>
          <w:sz w:val="32"/>
          <w:szCs w:val="32"/>
        </w:rPr>
        <w:t>万元，占</w:t>
      </w:r>
      <w:r>
        <w:rPr>
          <w:rFonts w:ascii="方正仿宋_GBK" w:eastAsia="方正仿宋_GBK"/>
          <w:sz w:val="32"/>
          <w:szCs w:val="32"/>
        </w:rPr>
        <w:t>1.2%</w:t>
      </w:r>
      <w:r>
        <w:rPr>
          <w:rFonts w:hint="eastAsia" w:ascii="方正仿宋_GBK" w:eastAsia="方正仿宋_GBK"/>
          <w:sz w:val="32"/>
          <w:szCs w:val="32"/>
        </w:rPr>
        <w:t>，较年初预算数减少</w:t>
      </w:r>
      <w:r>
        <w:rPr>
          <w:rFonts w:ascii="方正仿宋_GBK" w:eastAsia="方正仿宋_GBK"/>
          <w:sz w:val="32"/>
          <w:szCs w:val="32"/>
        </w:rPr>
        <w:t>6.09</w:t>
      </w:r>
      <w:r>
        <w:rPr>
          <w:rFonts w:hint="eastAsia" w:ascii="方正仿宋_GBK" w:eastAsia="方正仿宋_GBK"/>
          <w:sz w:val="32"/>
          <w:szCs w:val="32"/>
        </w:rPr>
        <w:t>万元，下降</w:t>
      </w:r>
      <w:r>
        <w:rPr>
          <w:rFonts w:ascii="方正仿宋_GBK" w:eastAsia="方正仿宋_GBK"/>
          <w:sz w:val="32"/>
          <w:szCs w:val="32"/>
        </w:rPr>
        <w:t>5.3%</w:t>
      </w:r>
      <w:r>
        <w:rPr>
          <w:rFonts w:hint="eastAsia" w:ascii="方正仿宋_GBK" w:eastAsia="方正仿宋_GBK"/>
          <w:sz w:val="32"/>
          <w:szCs w:val="32"/>
        </w:rPr>
        <w:t>，主要原因是在职人员减少。</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结转结余情况。</w:t>
      </w:r>
      <w:r>
        <w:rPr>
          <w:rFonts w:ascii="方正仿宋_GBK" w:eastAsia="方正仿宋_GBK"/>
          <w:sz w:val="32"/>
          <w:szCs w:val="32"/>
        </w:rPr>
        <w:t>2024</w:t>
      </w:r>
      <w:r>
        <w:rPr>
          <w:rFonts w:hint="eastAsia" w:ascii="方正仿宋_GBK" w:eastAsia="方正仿宋_GBK"/>
          <w:sz w:val="32"/>
          <w:szCs w:val="32"/>
        </w:rPr>
        <w:t>年度年末一般公共预算财政拨款结转和结余</w:t>
      </w:r>
      <w:r>
        <w:rPr>
          <w:rFonts w:ascii="方正仿宋_GBK" w:eastAsia="方正仿宋_GBK"/>
          <w:sz w:val="32"/>
          <w:szCs w:val="32"/>
        </w:rPr>
        <w:t>0.00</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年度相比，无增减。主要原因是根据财政政策要求，不做年末结转。</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（四）一般公共预算财政拨款基本支出决算情况说明</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2024</w:t>
      </w:r>
      <w:r>
        <w:rPr>
          <w:rFonts w:hint="eastAsia" w:ascii="方正仿宋_GBK" w:eastAsia="方正仿宋_GBK"/>
          <w:sz w:val="32"/>
          <w:szCs w:val="32"/>
        </w:rPr>
        <w:t>年度一般公共财政拨款基本支出</w:t>
      </w:r>
      <w:r>
        <w:rPr>
          <w:rFonts w:ascii="方正仿宋_GBK" w:eastAsia="方正仿宋_GBK"/>
          <w:sz w:val="32"/>
          <w:szCs w:val="32"/>
        </w:rPr>
        <w:t>3635.09</w:t>
      </w:r>
      <w:r>
        <w:rPr>
          <w:rFonts w:hint="eastAsia" w:ascii="方正仿宋_GBK" w:eastAsia="方正仿宋_GBK"/>
          <w:sz w:val="32"/>
          <w:szCs w:val="32"/>
        </w:rPr>
        <w:t>万元。</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其中：人员经费</w:t>
      </w:r>
      <w:r>
        <w:rPr>
          <w:rFonts w:ascii="方正仿宋_GBK" w:eastAsia="方正仿宋_GBK"/>
          <w:sz w:val="32"/>
          <w:szCs w:val="32"/>
        </w:rPr>
        <w:t>3249.23</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年度相比，增加</w:t>
      </w:r>
      <w:r>
        <w:rPr>
          <w:rFonts w:ascii="方正仿宋_GBK" w:eastAsia="方正仿宋_GBK"/>
          <w:sz w:val="32"/>
          <w:szCs w:val="32"/>
        </w:rPr>
        <w:t>575.11</w:t>
      </w:r>
      <w:r>
        <w:rPr>
          <w:rFonts w:hint="eastAsia" w:ascii="方正仿宋_GBK" w:eastAsia="方正仿宋_GBK"/>
          <w:sz w:val="32"/>
          <w:szCs w:val="32"/>
        </w:rPr>
        <w:t>万元，增长</w:t>
      </w:r>
      <w:r>
        <w:rPr>
          <w:rFonts w:ascii="方正仿宋_GBK" w:eastAsia="方正仿宋_GBK"/>
          <w:sz w:val="32"/>
          <w:szCs w:val="32"/>
        </w:rPr>
        <w:t>21.5%</w:t>
      </w:r>
      <w:r>
        <w:rPr>
          <w:rFonts w:hint="eastAsia" w:ascii="方正仿宋_GBK" w:eastAsia="方正仿宋_GBK"/>
          <w:sz w:val="32"/>
          <w:szCs w:val="32"/>
        </w:rPr>
        <w:t>，主要原因是主要原因是</w:t>
      </w:r>
      <w:r>
        <w:rPr>
          <w:rFonts w:ascii="方正仿宋_GBK" w:eastAsia="方正仿宋_GBK"/>
          <w:sz w:val="32"/>
          <w:szCs w:val="32"/>
        </w:rPr>
        <w:t>2023</w:t>
      </w:r>
      <w:r>
        <w:rPr>
          <w:rFonts w:hint="eastAsia" w:ascii="方正仿宋_GBK" w:eastAsia="方正仿宋_GBK"/>
          <w:sz w:val="32"/>
          <w:szCs w:val="32"/>
        </w:rPr>
        <w:t>年预发了退休职工健康修养费。人员经费用途主要包括人员经费用途主要包括职工工资、保险、公积金等支出。</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公用经费</w:t>
      </w:r>
      <w:r>
        <w:rPr>
          <w:rFonts w:ascii="方正仿宋_GBK" w:eastAsia="方正仿宋_GBK"/>
          <w:sz w:val="32"/>
          <w:szCs w:val="32"/>
        </w:rPr>
        <w:t>385.85</w:t>
      </w:r>
      <w:r>
        <w:rPr>
          <w:rFonts w:hint="eastAsia" w:ascii="方正仿宋_GBK" w:eastAsia="方正仿宋_GBK"/>
          <w:sz w:val="32"/>
          <w:szCs w:val="32"/>
        </w:rPr>
        <w:t>万元，与</w:t>
      </w:r>
      <w:r>
        <w:rPr>
          <w:rFonts w:ascii="方正仿宋_GBK" w:eastAsia="方正仿宋_GBK"/>
          <w:sz w:val="32"/>
          <w:szCs w:val="32"/>
        </w:rPr>
        <w:t>2023</w:t>
      </w:r>
      <w:r>
        <w:rPr>
          <w:rFonts w:hint="eastAsia" w:ascii="方正仿宋_GBK" w:eastAsia="方正仿宋_GBK"/>
          <w:sz w:val="32"/>
          <w:szCs w:val="32"/>
        </w:rPr>
        <w:t>年度相比，减少</w:t>
      </w:r>
      <w:r>
        <w:rPr>
          <w:rFonts w:ascii="方正仿宋_GBK" w:eastAsia="方正仿宋_GBK"/>
          <w:sz w:val="32"/>
          <w:szCs w:val="32"/>
        </w:rPr>
        <w:t>13.97</w:t>
      </w:r>
      <w:r>
        <w:rPr>
          <w:rFonts w:hint="eastAsia" w:ascii="方正仿宋_GBK" w:eastAsia="方正仿宋_GBK"/>
          <w:sz w:val="32"/>
          <w:szCs w:val="32"/>
        </w:rPr>
        <w:t>万元，下降</w:t>
      </w:r>
      <w:r>
        <w:rPr>
          <w:rFonts w:ascii="方正仿宋_GBK" w:eastAsia="方正仿宋_GBK"/>
          <w:sz w:val="32"/>
          <w:szCs w:val="32"/>
        </w:rPr>
        <w:t>3.5%</w:t>
      </w:r>
      <w:r>
        <w:rPr>
          <w:rFonts w:hint="eastAsia" w:ascii="方正仿宋_GBK" w:eastAsia="方正仿宋_GBK"/>
          <w:sz w:val="32"/>
          <w:szCs w:val="32"/>
        </w:rPr>
        <w:t>，公用经费用途主要包括办公费、水电费、租赁费，公务车费用，公务接待费等。</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（五）政府性基金预算收支决算情况说明</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本单位</w:t>
      </w:r>
      <w:r>
        <w:rPr>
          <w:rFonts w:ascii="方正仿宋_GBK" w:eastAsia="方正仿宋_GBK"/>
          <w:sz w:val="32"/>
          <w:szCs w:val="32"/>
        </w:rPr>
        <w:t>2024</w:t>
      </w:r>
      <w:r>
        <w:rPr>
          <w:rFonts w:hint="eastAsia" w:ascii="方正仿宋_GBK" w:eastAsia="方正仿宋_GBK"/>
          <w:sz w:val="32"/>
          <w:szCs w:val="32"/>
        </w:rPr>
        <w:t>年度无政府性基金预算财政拨款收支。</w:t>
      </w:r>
    </w:p>
    <w:p>
      <w:pPr>
        <w:spacing w:line="576" w:lineRule="exact"/>
        <w:ind w:firstLine="640" w:firstLineChars="200"/>
        <w:rPr>
          <w:rFonts w:ascii="方正楷体_GBK" w:eastAsia="方正楷体_GBK"/>
          <w:sz w:val="32"/>
          <w:szCs w:val="32"/>
        </w:rPr>
      </w:pPr>
      <w:r>
        <w:rPr>
          <w:rFonts w:hint="eastAsia" w:ascii="方正楷体_GBK" w:eastAsia="方正楷体_GBK"/>
          <w:sz w:val="32"/>
          <w:szCs w:val="32"/>
        </w:rPr>
        <w:t>（六）国有资本经营预算财政拨款支出决算情况说明</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本单位</w:t>
      </w:r>
      <w:r>
        <w:rPr>
          <w:rFonts w:ascii="方正仿宋_GBK" w:eastAsia="方正仿宋_GBK"/>
          <w:sz w:val="32"/>
          <w:szCs w:val="32"/>
        </w:rPr>
        <w:t>2024</w:t>
      </w:r>
      <w:r>
        <w:rPr>
          <w:rFonts w:hint="eastAsia" w:ascii="方正仿宋_GBK" w:eastAsia="方正仿宋_GBK"/>
          <w:sz w:val="32"/>
          <w:szCs w:val="32"/>
        </w:rPr>
        <w:t>年度无国有资本经营预算财政拨款支出。</w:t>
      </w:r>
    </w:p>
    <w:p>
      <w:pPr>
        <w:spacing w:line="576" w:lineRule="exact"/>
        <w:ind w:firstLine="640" w:firstLineChars="200"/>
        <w:rPr>
          <w:rFonts w:ascii="方正黑体_GBK" w:eastAsia="方正黑体_GBK"/>
          <w:sz w:val="32"/>
          <w:szCs w:val="32"/>
        </w:rPr>
      </w:pPr>
      <w:r>
        <w:rPr>
          <w:rFonts w:hint="eastAsia" w:ascii="方正黑体_GBK" w:eastAsia="方正黑体_GBK"/>
          <w:sz w:val="32"/>
          <w:szCs w:val="32"/>
        </w:rPr>
        <w:t>三、“三公”经费情况说明</w:t>
      </w:r>
    </w:p>
    <w:p>
      <w:pPr>
        <w:pStyle w:val="18"/>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shd w:val="clear" w:color="auto" w:fill="FFFFFF"/>
        </w:rPr>
        <w:t>27.18</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5.82</w:t>
      </w:r>
      <w:r>
        <w:rPr>
          <w:rFonts w:hint="eastAsia"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17.6%</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较上年支出数减少</w:t>
      </w:r>
      <w:r>
        <w:rPr>
          <w:rFonts w:ascii="Times New Roman" w:hAnsi="Times New Roman" w:eastAsia="方正仿宋_GBK"/>
          <w:sz w:val="32"/>
          <w:szCs w:val="32"/>
          <w:shd w:val="clear" w:color="auto" w:fill="FFFFFF"/>
        </w:rPr>
        <w:t>0.98</w:t>
      </w:r>
      <w:r>
        <w:rPr>
          <w:rFonts w:hint="eastAsia"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3.5%</w:t>
      </w:r>
      <w:r>
        <w:rPr>
          <w:rFonts w:hint="eastAsia" w:ascii="方正仿宋_GBK" w:hAnsi="方正仿宋_GBK" w:eastAsia="方正仿宋_GBK" w:cs="方正仿宋_GBK"/>
          <w:sz w:val="32"/>
          <w:szCs w:val="32"/>
          <w:shd w:val="clear" w:color="auto" w:fill="FFFFFF"/>
        </w:rPr>
        <w:t>。</w:t>
      </w:r>
    </w:p>
    <w:p>
      <w:pPr>
        <w:pStyle w:val="18"/>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年度本单位因公出国（境）费用和公务用车购置费均为</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公务用车运行维护费</w:t>
      </w:r>
      <w:r>
        <w:rPr>
          <w:rFonts w:ascii="Times New Roman" w:hAnsi="Times New Roman" w:eastAsia="方正仿宋_GBK"/>
          <w:sz w:val="32"/>
          <w:szCs w:val="32"/>
          <w:shd w:val="clear" w:color="auto" w:fill="FFFFFF"/>
        </w:rPr>
        <w:t>27.18</w:t>
      </w:r>
      <w:r>
        <w:rPr>
          <w:rFonts w:hint="eastAsia" w:ascii="方正仿宋_GBK" w:hAnsi="方正仿宋_GBK" w:eastAsia="方正仿宋_GBK" w:cs="方正仿宋_GBK"/>
          <w:sz w:val="32"/>
          <w:szCs w:val="32"/>
          <w:shd w:val="clear" w:color="auto" w:fill="FFFFFF"/>
        </w:rPr>
        <w:t>万元，主要用于公务车燃油费、过路费等日常开支。费用支出</w:t>
      </w:r>
      <w:r>
        <w:rPr>
          <w:rFonts w:hint="eastAsia"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4.32</w:t>
      </w:r>
      <w:r>
        <w:rPr>
          <w:rFonts w:hint="eastAsia"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13.7%</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较上年支出数减少</w:t>
      </w:r>
      <w:r>
        <w:rPr>
          <w:rFonts w:ascii="Times New Roman" w:hAnsi="Times New Roman" w:eastAsia="方正仿宋_GBK"/>
          <w:sz w:val="32"/>
          <w:szCs w:val="32"/>
          <w:shd w:val="clear" w:color="auto" w:fill="FFFFFF"/>
        </w:rPr>
        <w:t>0.98</w:t>
      </w:r>
      <w:r>
        <w:rPr>
          <w:rFonts w:hint="eastAsia"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3.5%</w:t>
      </w:r>
      <w:r>
        <w:rPr>
          <w:rFonts w:hint="eastAsia"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18"/>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年度本单位因公出国（境）共计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个团组，</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人；公务用车购置</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11</w:t>
      </w:r>
      <w:r>
        <w:rPr>
          <w:rFonts w:hint="eastAsia" w:ascii="方正仿宋_GBK" w:hAnsi="方正仿宋_GBK" w:eastAsia="方正仿宋_GBK" w:cs="方正仿宋_GBK"/>
          <w:sz w:val="32"/>
          <w:szCs w:val="32"/>
          <w:shd w:val="clear" w:color="auto" w:fill="FFFFFF"/>
        </w:rPr>
        <w:t>辆；国内公务接待</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人；国（境）外公务接待</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年本单位人均接待费</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元，车均购置费</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2.47</w:t>
      </w:r>
      <w:r>
        <w:rPr>
          <w:rFonts w:hint="eastAsia"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2.40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rPr>
        <w:t>。本年度培训费支出</w:t>
      </w:r>
      <w:r>
        <w:rPr>
          <w:rFonts w:ascii="Times New Roman" w:hAnsi="Times New Roman" w:eastAsia="方正仿宋_GBK"/>
          <w:sz w:val="32"/>
          <w:szCs w:val="32"/>
          <w:shd w:val="clear" w:color="auto" w:fill="FFFFFF"/>
        </w:rPr>
        <w:t>14.45</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0.02</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0.1%</w:t>
      </w:r>
      <w:r>
        <w:rPr>
          <w:rFonts w:hint="eastAsia" w:ascii="方正仿宋_GBK" w:hAnsi="方正仿宋_GBK" w:eastAsia="方正仿宋_GBK" w:cs="方正仿宋_GBK"/>
          <w:sz w:val="32"/>
          <w:szCs w:val="32"/>
          <w:shd w:val="clear" w:color="auto" w:fill="FFFFFF"/>
        </w:rPr>
        <w:t>。本年度差旅费支出</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年度相比，无变化</w:t>
      </w:r>
      <w:r>
        <w:rPr>
          <w:rFonts w:hint="eastAsia" w:ascii="方正仿宋_GBK" w:hAnsi="方正仿宋_GBK" w:eastAsia="方正仿宋_GBK" w:cs="方正仿宋_GBK"/>
          <w:sz w:val="32"/>
          <w:szCs w:val="32"/>
          <w:shd w:val="clear" w:color="auto" w:fill="FFFFFF"/>
        </w:rPr>
        <w:t>。</w:t>
      </w:r>
    </w:p>
    <w:p>
      <w:pPr>
        <w:pStyle w:val="18"/>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年度本单位机关运行经费支出</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18"/>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ascii="Times New Roman" w:hAnsi="Times New Roman" w:eastAsia="方正仿宋_GBK"/>
          <w:sz w:val="32"/>
          <w:szCs w:val="32"/>
          <w:shd w:val="clear" w:color="auto" w:fill="FFFFFF"/>
        </w:rPr>
        <w:t>12</w:t>
      </w:r>
      <w:r>
        <w:rPr>
          <w:rFonts w:hint="eastAsia" w:ascii="方正仿宋_GBK" w:hAnsi="方正仿宋_GBK" w:eastAsia="方正仿宋_GBK" w:cs="方正仿宋_GBK"/>
          <w:sz w:val="32"/>
          <w:szCs w:val="32"/>
          <w:shd w:val="clear" w:color="auto" w:fill="FFFFFF"/>
        </w:rPr>
        <w:t>月</w:t>
      </w:r>
      <w:r>
        <w:rPr>
          <w:rFonts w:ascii="Times New Roman" w:hAnsi="Times New Roman" w:eastAsia="方正仿宋_GBK"/>
          <w:sz w:val="32"/>
          <w:szCs w:val="32"/>
          <w:shd w:val="clear" w:color="auto" w:fill="FFFFFF"/>
        </w:rPr>
        <w:t>31</w:t>
      </w:r>
      <w:r>
        <w:rPr>
          <w:rFonts w:hint="eastAsia" w:ascii="方正仿宋_GBK" w:hAnsi="方正仿宋_GBK" w:eastAsia="方正仿宋_GBK" w:cs="方正仿宋_GBK"/>
          <w:sz w:val="32"/>
          <w:szCs w:val="32"/>
          <w:shd w:val="clear" w:color="auto" w:fill="FFFFFF"/>
        </w:rPr>
        <w:t>日，本单位共有车辆</w:t>
      </w:r>
      <w:r>
        <w:rPr>
          <w:rFonts w:ascii="Times New Roman" w:hAnsi="Times New Roman" w:eastAsia="方正仿宋_GBK"/>
          <w:sz w:val="32"/>
          <w:szCs w:val="32"/>
          <w:shd w:val="clear" w:color="auto" w:fill="FFFFFF"/>
        </w:rPr>
        <w:t>11</w:t>
      </w:r>
      <w:r>
        <w:rPr>
          <w:rFonts w:hint="eastAsia"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辆、主要负责人用车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8</w:t>
      </w:r>
      <w:r>
        <w:rPr>
          <w:rFonts w:hint="eastAsia" w:ascii="方正仿宋_GBK" w:hAnsi="方正仿宋_GBK" w:eastAsia="方正仿宋_GBK" w:cs="方正仿宋_GBK"/>
          <w:sz w:val="32"/>
          <w:szCs w:val="32"/>
          <w:shd w:val="clear" w:color="auto" w:fill="FFFFFF"/>
        </w:rPr>
        <w:t>辆、执法执勤用车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辆，离退休干部用车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辆。单价</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台（套）。</w:t>
      </w:r>
    </w:p>
    <w:p>
      <w:pPr>
        <w:pStyle w:val="18"/>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年度本单位政府采购支出总额</w:t>
      </w:r>
      <w:r>
        <w:rPr>
          <w:rFonts w:ascii="Times New Roman" w:hAnsi="Times New Roman" w:eastAsia="方正仿宋_GBK"/>
          <w:sz w:val="32"/>
          <w:szCs w:val="32"/>
          <w:shd w:val="clear" w:color="auto" w:fill="FFFFFF"/>
        </w:rPr>
        <w:t>16852.04</w:t>
      </w:r>
      <w:r>
        <w:rPr>
          <w:rFonts w:hint="eastAsia"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sz w:val="32"/>
          <w:szCs w:val="32"/>
          <w:shd w:val="clear" w:color="auto" w:fill="FFFFFF"/>
        </w:rPr>
        <w:t>6421.47</w:t>
      </w:r>
      <w:r>
        <w:rPr>
          <w:rFonts w:hint="eastAsia"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7302.65</w:t>
      </w:r>
      <w:r>
        <w:rPr>
          <w:rFonts w:hint="eastAsia"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3127.93</w:t>
      </w:r>
      <w:r>
        <w:rPr>
          <w:rFonts w:hint="eastAsia"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sz w:val="32"/>
          <w:szCs w:val="32"/>
          <w:shd w:val="clear" w:color="auto" w:fill="FFFFFF"/>
        </w:rPr>
        <w:t>14388.96</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sz w:val="32"/>
          <w:szCs w:val="32"/>
          <w:shd w:val="clear" w:color="auto" w:fill="FFFFFF"/>
        </w:rPr>
        <w:t>85.4%</w:t>
      </w:r>
      <w:r>
        <w:rPr>
          <w:rFonts w:hint="eastAsia"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sz w:val="32"/>
          <w:szCs w:val="32"/>
          <w:shd w:val="clear" w:color="auto" w:fill="FFFFFF"/>
        </w:rPr>
        <w:t>10207.63</w:t>
      </w:r>
      <w:r>
        <w:rPr>
          <w:rFonts w:hint="eastAsia"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sz w:val="32"/>
          <w:szCs w:val="32"/>
          <w:shd w:val="clear" w:color="auto" w:fill="FFFFFF"/>
        </w:rPr>
        <w:t>60.6 %</w:t>
      </w:r>
      <w:r>
        <w:rPr>
          <w:rFonts w:hint="eastAsia" w:ascii="方正仿宋_GBK" w:hAnsi="方正仿宋_GBK" w:eastAsia="方正仿宋_GBK" w:cs="方正仿宋_GBK"/>
          <w:sz w:val="32"/>
          <w:szCs w:val="32"/>
          <w:shd w:val="clear" w:color="auto" w:fill="FFFFFF"/>
        </w:rPr>
        <w:t>。主要用于采购护栏采购和安装项目。</w:t>
      </w:r>
    </w:p>
    <w:p>
      <w:pPr>
        <w:spacing w:line="576" w:lineRule="exact"/>
        <w:ind w:firstLine="640" w:firstLineChars="200"/>
        <w:rPr>
          <w:rFonts w:ascii="方正黑体_GBK" w:eastAsia="方正黑体_GBK"/>
          <w:sz w:val="32"/>
          <w:szCs w:val="32"/>
        </w:rPr>
      </w:pPr>
      <w:r>
        <w:rPr>
          <w:rFonts w:hint="eastAsia" w:ascii="方正黑体_GBK" w:eastAsia="方正黑体_GBK"/>
          <w:sz w:val="32"/>
          <w:szCs w:val="32"/>
        </w:rPr>
        <w:t>五、预算绩效管理情况说明</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根据预算绩效管理要求，我中心以填报自评表形式开展自评</w:t>
      </w:r>
      <w:r>
        <w:rPr>
          <w:rFonts w:ascii="方正仿宋_GBK" w:eastAsia="方正仿宋_GBK"/>
          <w:sz w:val="32"/>
          <w:szCs w:val="32"/>
        </w:rPr>
        <w:t>18</w:t>
      </w:r>
      <w:r>
        <w:rPr>
          <w:rFonts w:hint="eastAsia" w:ascii="方正仿宋_GBK" w:eastAsia="方正仿宋_GBK"/>
          <w:sz w:val="32"/>
          <w:szCs w:val="32"/>
        </w:rPr>
        <w:t>项，涉及资金</w:t>
      </w:r>
      <w:r>
        <w:rPr>
          <w:rFonts w:ascii="方正仿宋_GBK" w:eastAsia="方正仿宋_GBK"/>
          <w:sz w:val="32"/>
          <w:szCs w:val="32"/>
        </w:rPr>
        <w:t>121150</w:t>
      </w:r>
      <w:r>
        <w:rPr>
          <w:rFonts w:hint="eastAsia" w:ascii="方正仿宋_GBK" w:eastAsia="方正仿宋_GBK"/>
          <w:sz w:val="32"/>
          <w:szCs w:val="32"/>
        </w:rPr>
        <w:t>万元，自评得分均</w:t>
      </w:r>
      <w:r>
        <w:rPr>
          <w:rFonts w:ascii="方正仿宋_GBK" w:eastAsia="方正仿宋_GBK"/>
          <w:sz w:val="32"/>
          <w:szCs w:val="32"/>
        </w:rPr>
        <w:t>90</w:t>
      </w:r>
      <w:r>
        <w:rPr>
          <w:rFonts w:hint="eastAsia" w:ascii="方正仿宋_GBK" w:eastAsia="方正仿宋_GBK"/>
          <w:sz w:val="32"/>
          <w:szCs w:val="32"/>
        </w:rPr>
        <w:t>分以上。</w:t>
      </w:r>
    </w:p>
    <w:p>
      <w:pPr>
        <w:spacing w:line="576" w:lineRule="exact"/>
        <w:ind w:firstLine="640" w:firstLineChars="200"/>
        <w:rPr>
          <w:rFonts w:ascii="方正黑体_GBK" w:eastAsia="方正黑体_GBK"/>
          <w:sz w:val="32"/>
          <w:szCs w:val="32"/>
        </w:rPr>
      </w:pPr>
      <w:r>
        <w:rPr>
          <w:rFonts w:hint="eastAsia" w:ascii="方正黑体_GBK" w:eastAsia="方正黑体_GBK"/>
          <w:sz w:val="32"/>
          <w:szCs w:val="32"/>
        </w:rPr>
        <w:t>六、专业名词解释</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（二）事业收入：</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（三）经营收入：</w:t>
      </w:r>
      <w:r>
        <w:rPr>
          <w:rFonts w:hint="eastAsia" w:ascii="方正仿宋_GBK" w:eastAsia="方正仿宋_GBK"/>
          <w:sz w:val="32"/>
          <w:szCs w:val="32"/>
        </w:rPr>
        <w:t>指事业单位在专业业务活动及其辅助活动之外开展非独立核算经营活动取得的现金流入。</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（四）其他收入：</w:t>
      </w:r>
      <w:r>
        <w:rPr>
          <w:rFonts w:hint="eastAsia"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（五）使用非财政拨款结余：</w:t>
      </w:r>
      <w:r>
        <w:rPr>
          <w:rFonts w:hint="eastAsia"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（六）年初结转和结余：</w:t>
      </w:r>
      <w:r>
        <w:rPr>
          <w:rFonts w:hint="eastAsia" w:ascii="方正仿宋_GBK" w:eastAsia="方正仿宋_GBK"/>
          <w:sz w:val="32"/>
          <w:szCs w:val="32"/>
        </w:rPr>
        <w:t>指单位上年结转本年使用的基本支出结转、项目支出结转和结余、经营结余。</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（七）结余分配：</w:t>
      </w:r>
      <w:r>
        <w:rPr>
          <w:rFonts w:hint="eastAsia" w:ascii="方正仿宋_GBK" w:eastAsia="方正仿宋_GBK"/>
          <w:sz w:val="32"/>
          <w:szCs w:val="32"/>
        </w:rPr>
        <w:t>指单位按照国家有关规定，缴纳所得税、提取专用基金、转入非财政拨款结余等当年结余的分配情况。</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（八）年末结转和结余：</w:t>
      </w:r>
      <w:r>
        <w:rPr>
          <w:rFonts w:hint="eastAsia" w:ascii="方正仿宋_GBK" w:eastAsia="方正仿宋_GBK"/>
          <w:sz w:val="32"/>
          <w:szCs w:val="32"/>
        </w:rPr>
        <w:t>指单位结转下年的基本支出结转、项目支出结转和结余、经营结余。</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（九）基本支出：</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（十）项目支出：</w:t>
      </w:r>
      <w:r>
        <w:rPr>
          <w:rFonts w:hint="eastAsia" w:ascii="方正仿宋_GBK" w:eastAsia="方正仿宋_GBK"/>
          <w:sz w:val="32"/>
          <w:szCs w:val="32"/>
        </w:rPr>
        <w:t>指在基本支出之外为完成特定行政任务和事业发展目标所发生的支出。</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（十一）经营支出：</w:t>
      </w:r>
      <w:r>
        <w:rPr>
          <w:rFonts w:hint="eastAsia" w:ascii="方正仿宋_GBK" w:eastAsia="方正仿宋_GBK"/>
          <w:sz w:val="32"/>
          <w:szCs w:val="32"/>
        </w:rPr>
        <w:t>指事业单位在专业业务活动及其辅助活动之外开展非独立核算经营活动发生的支出。</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（十二）“三公”经费：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（十三）机关运行经费：</w:t>
      </w:r>
      <w:r>
        <w:rPr>
          <w:rFonts w:hint="eastAsia"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（十四）工资福利支出（支出经济分类科目类级）：</w:t>
      </w:r>
      <w:r>
        <w:rPr>
          <w:rFonts w:hint="eastAsia"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（十五）商品和服务支出（支出经济分类科目类级）：</w:t>
      </w:r>
      <w:r>
        <w:rPr>
          <w:rFonts w:hint="eastAsia" w:ascii="方正仿宋_GBK" w:eastAsia="方正仿宋_GBK"/>
          <w:sz w:val="32"/>
          <w:szCs w:val="32"/>
        </w:rPr>
        <w:t>反映单位购买商品和服务的支出（不包括用于购置固定资产的支出、战略性和应急储备支出）。</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（十六）对个人和家庭的补助（支出经济分类科目类级）</w:t>
      </w:r>
      <w:r>
        <w:rPr>
          <w:rFonts w:hint="eastAsia" w:ascii="方正仿宋_GBK" w:eastAsia="方正仿宋_GBK"/>
          <w:sz w:val="32"/>
          <w:szCs w:val="32"/>
        </w:rPr>
        <w:t>：反映用于对个人和家庭的补助支出。</w:t>
      </w:r>
    </w:p>
    <w:p>
      <w:pPr>
        <w:spacing w:line="576" w:lineRule="exact"/>
        <w:ind w:firstLine="640" w:firstLineChars="200"/>
        <w:rPr>
          <w:rFonts w:ascii="方正仿宋_GBK" w:eastAsia="方正仿宋_GBK"/>
          <w:sz w:val="32"/>
          <w:szCs w:val="32"/>
        </w:rPr>
      </w:pPr>
      <w:r>
        <w:rPr>
          <w:rFonts w:hint="eastAsia" w:ascii="方正楷体_GBK" w:eastAsia="方正楷体_GBK"/>
          <w:sz w:val="32"/>
          <w:szCs w:val="32"/>
        </w:rPr>
        <w:t>（十七）其他资本性支出（支出经济分类科目类级）：</w:t>
      </w:r>
      <w:r>
        <w:rPr>
          <w:rFonts w:hint="eastAsia"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spacing w:line="576" w:lineRule="exact"/>
        <w:ind w:firstLine="640" w:firstLineChars="200"/>
        <w:rPr>
          <w:rFonts w:ascii="方正黑体_GBK" w:eastAsia="方正黑体_GBK"/>
          <w:sz w:val="32"/>
          <w:szCs w:val="32"/>
        </w:rPr>
      </w:pPr>
      <w:r>
        <w:rPr>
          <w:rFonts w:hint="eastAsia" w:ascii="方正黑体_GBK" w:eastAsia="方正黑体_GBK"/>
          <w:sz w:val="32"/>
          <w:szCs w:val="32"/>
        </w:rPr>
        <w:t>七、决算公开联系方式及信息反馈渠道</w:t>
      </w:r>
    </w:p>
    <w:p>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本单位决算公开信息反馈和联系方式：</w:t>
      </w:r>
    </w:p>
    <w:p>
      <w:pPr>
        <w:spacing w:line="576" w:lineRule="exact"/>
        <w:ind w:firstLine="640" w:firstLineChars="200"/>
        <w:rPr>
          <w:b/>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ascii="方正仿宋_GBK" w:eastAsia="方正仿宋_GBK"/>
          <w:sz w:val="32"/>
          <w:szCs w:val="32"/>
        </w:rPr>
        <w:t xml:space="preserve">     </w:t>
      </w:r>
      <w:r>
        <w:rPr>
          <w:rFonts w:hint="eastAsia" w:ascii="方正仿宋_GBK" w:eastAsia="方正仿宋_GBK"/>
          <w:sz w:val="32"/>
          <w:szCs w:val="32"/>
        </w:rPr>
        <w:t>王芸展</w:t>
      </w:r>
      <w:r>
        <w:rPr>
          <w:rFonts w:ascii="方正仿宋_GBK" w:eastAsia="方正仿宋_GBK"/>
          <w:sz w:val="32"/>
          <w:szCs w:val="32"/>
        </w:rPr>
        <w:t xml:space="preserve">      023-85886020</w:t>
      </w:r>
      <w:r>
        <w:rPr>
          <w:rFonts w:ascii="方正仿宋_GBK" w:hAnsi="方正仿宋_GBK" w:eastAsia="方正仿宋_GBK" w:cs="方正仿宋_GBK"/>
          <w:sz w:val="32"/>
          <w:szCs w:val="32"/>
          <w:shd w:val="clear" w:color="auto" w:fill="FFFFFF"/>
        </w:rPr>
        <w:t xml:space="preserve"> </w:t>
      </w:r>
      <w:r>
        <w:rPr>
          <w:rFonts w:ascii="方正仿宋_GBK" w:eastAsia="方正仿宋_GBK"/>
          <w:b/>
          <w:sz w:val="32"/>
          <w:szCs w:val="32"/>
          <w:shd w:val="clear" w:color="auto" w:fill="FFFFFF"/>
        </w:rPr>
        <w:t xml:space="preserve"> </w:t>
      </w:r>
      <w:r>
        <w:rPr>
          <w:b/>
          <w:shd w:val="clear" w:color="auto" w:fill="FFFFFF"/>
        </w:rPr>
        <w:t xml:space="preserve">  </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cs="宋体"/>
                <w:b/>
                <w:color w:val="000000"/>
                <w:sz w:val="32"/>
                <w:szCs w:val="32"/>
              </w:rPr>
            </w:pPr>
            <w:r>
              <w:rPr>
                <w:rFonts w:hint="eastAsia"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01</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80" w:lineRule="exact"/>
              <w:rPr>
                <w:rFonts w:ascii="Arial" w:hAnsi="Arial" w:cs="Arial"/>
                <w:color w:val="000000"/>
                <w:sz w:val="22"/>
                <w:szCs w:val="22"/>
              </w:rPr>
            </w:pPr>
            <w:r>
              <w:rPr>
                <w:rFonts w:hint="eastAsia" w:cs="宋体"/>
                <w:sz w:val="20"/>
                <w:szCs w:val="20"/>
              </w:rPr>
              <w:t>单位：</w:t>
            </w:r>
            <w:r>
              <w:rPr>
                <w:rFonts w:hint="eastAsia"/>
                <w:sz w:val="20"/>
              </w:rPr>
              <w:t>重庆市綦江区公路事务中心</w:t>
            </w:r>
          </w:p>
        </w:tc>
        <w:tc>
          <w:tcPr>
            <w:tcW w:w="4044" w:type="dxa"/>
            <w:tcBorders>
              <w:top w:val="nil"/>
              <w:left w:val="nil"/>
              <w:bottom w:val="nil"/>
              <w:right w:val="nil"/>
            </w:tcBorders>
            <w:tcMar>
              <w:top w:w="15" w:type="dxa"/>
              <w:left w:w="15" w:type="dxa"/>
              <w:right w:w="15" w:type="dxa"/>
            </w:tcMar>
            <w:vAlign w:val="bottom"/>
          </w:tcPr>
          <w:p>
            <w:pPr>
              <w:spacing w:line="200" w:lineRule="exact"/>
              <w:rPr>
                <w:rFonts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8,851.98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2,149.00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1,360.49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135.03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2,149.00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7,246.92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hint="eastAsia"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11,000.98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hint="eastAsia"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11,000.98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11,000.98</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11,000.98</w:t>
            </w:r>
            <w:r>
              <w:rPr>
                <w:rFonts w:ascii="Times New Roman" w:hAnsi="Times New Roman"/>
                <w:color w:val="000000"/>
                <w:sz w:val="20"/>
              </w:rPr>
              <w:t xml:space="preserve"> </w:t>
            </w:r>
          </w:p>
        </w:tc>
      </w:tr>
    </w:tbl>
    <w:p>
      <w:pPr>
        <w:rPr>
          <w:rFonts w:cs="宋体"/>
          <w:sz w:val="21"/>
          <w:szCs w:val="21"/>
        </w:rPr>
      </w:pPr>
    </w:p>
    <w:p>
      <w:pPr>
        <w:spacing w:line="24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本表反映单位本年度的总收支和年末结转结余情况。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2"/>
        <w:tblW w:w="15503" w:type="dxa"/>
        <w:jc w:val="center"/>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jc w:val="center"/>
        </w:trPr>
        <w:tc>
          <w:tcPr>
            <w:tcW w:w="5928" w:type="dxa"/>
            <w:gridSpan w:val="3"/>
            <w:vMerge w:val="restart"/>
            <w:tcBorders>
              <w:top w:val="nil"/>
              <w:left w:val="nil"/>
              <w:right w:val="nil"/>
            </w:tcBorders>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sz w:val="20"/>
              </w:rPr>
              <w:t>重庆市綦江区公路事务中心</w:t>
            </w:r>
          </w:p>
        </w:tc>
        <w:tc>
          <w:tcPr>
            <w:tcW w:w="1448"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436"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460"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293"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349"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333"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02</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328" w:hRule="atLeast"/>
          <w:jc w:val="center"/>
        </w:trPr>
        <w:tc>
          <w:tcPr>
            <w:tcW w:w="5928" w:type="dxa"/>
            <w:gridSpan w:val="3"/>
            <w:vMerge w:val="continue"/>
            <w:tcBorders>
              <w:left w:val="nil"/>
              <w:bottom w:val="nil"/>
              <w:right w:val="nil"/>
            </w:tcBorders>
            <w:tcMar>
              <w:top w:w="15" w:type="dxa"/>
              <w:left w:w="15" w:type="dxa"/>
              <w:right w:w="15" w:type="dxa"/>
            </w:tcMar>
            <w:vAlign w:val="bottom"/>
          </w:tcPr>
          <w:p>
            <w:pPr>
              <w:rPr>
                <w:rFonts w:cs="宋体"/>
                <w:color w:val="000000"/>
                <w:sz w:val="20"/>
                <w:szCs w:val="20"/>
              </w:rPr>
            </w:pPr>
          </w:p>
        </w:tc>
        <w:tc>
          <w:tcPr>
            <w:tcW w:w="1448"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436"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460"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293"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349"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333"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431" w:hRule="atLeast"/>
          <w:jc w:val="center"/>
        </w:trPr>
        <w:tc>
          <w:tcPr>
            <w:tcW w:w="4347"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其他收入</w:t>
            </w:r>
          </w:p>
        </w:tc>
      </w:tr>
      <w:tr>
        <w:tblPrEx>
          <w:tblLayout w:type="fixed"/>
          <w:tblCellMar>
            <w:top w:w="0" w:type="dxa"/>
            <w:left w:w="0" w:type="dxa"/>
            <w:bottom w:w="0" w:type="dxa"/>
            <w:right w:w="0" w:type="dxa"/>
          </w:tblCellMar>
        </w:tblPrEx>
        <w:trPr>
          <w:trHeight w:val="334" w:hRule="atLeast"/>
          <w:jc w:val="center"/>
        </w:trPr>
        <w:tc>
          <w:tcPr>
            <w:tcW w:w="142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2918"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jc w:val="center"/>
        </w:trPr>
        <w:tc>
          <w:tcPr>
            <w:tcW w:w="142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jc w:val="center"/>
        </w:trPr>
        <w:tc>
          <w:tcPr>
            <w:tcW w:w="142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jc w:val="center"/>
        </w:trPr>
        <w:tc>
          <w:tcPr>
            <w:tcW w:w="142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43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11,000.98</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11,000.98</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1,360.49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1,360.49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1,347.23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1,347.23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236.80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118.40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118.40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992.03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992.03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13.25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13.25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116.47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2120804</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农村基础设施建设支出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4,331.49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4,331.49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2140106</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公路养护</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2,915.43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2,915.43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本表反映单位本年度取得的各项收入情况。</w:t>
      </w:r>
      <w:r>
        <w:rPr>
          <w:rFonts w:cs="宋体"/>
          <w:sz w:val="20"/>
          <w:szCs w:val="20"/>
        </w:rPr>
        <w:br w:type="textWrapping"/>
      </w:r>
      <w:r>
        <w:rPr>
          <w:rFonts w:cs="宋体"/>
          <w:sz w:val="20"/>
          <w:szCs w:val="20"/>
        </w:rPr>
        <w:t>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15322" w:type="dxa"/>
        <w:jc w:val="center"/>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jc w:val="center"/>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jc w:val="center"/>
        </w:trPr>
        <w:tc>
          <w:tcPr>
            <w:tcW w:w="6732" w:type="dxa"/>
            <w:gridSpan w:val="3"/>
            <w:vMerge w:val="restart"/>
            <w:tcBorders>
              <w:top w:val="nil"/>
              <w:left w:val="nil"/>
              <w:right w:val="nil"/>
            </w:tcBorders>
            <w:tcMar>
              <w:top w:w="15" w:type="dxa"/>
              <w:left w:w="15" w:type="dxa"/>
              <w:right w:w="15" w:type="dxa"/>
            </w:tcMar>
            <w:vAlign w:val="bottom"/>
          </w:tcPr>
          <w:p>
            <w:pPr>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重庆市綦江区公路事务中心</w:t>
            </w:r>
            <w:r>
              <w:rPr>
                <w:color w:val="000000"/>
                <w:sz w:val="20"/>
              </w:rPr>
              <w:t xml:space="preserve"> </w:t>
            </w:r>
          </w:p>
        </w:tc>
        <w:tc>
          <w:tcPr>
            <w:tcW w:w="1762"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62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03</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342" w:hRule="atLeast"/>
          <w:jc w:val="center"/>
        </w:trPr>
        <w:tc>
          <w:tcPr>
            <w:tcW w:w="6732" w:type="dxa"/>
            <w:gridSpan w:val="3"/>
            <w:vMerge w:val="continue"/>
            <w:tcBorders>
              <w:left w:val="nil"/>
              <w:bottom w:val="nil"/>
              <w:right w:val="nil"/>
            </w:tcBorders>
            <w:tcMar>
              <w:top w:w="15" w:type="dxa"/>
              <w:left w:w="15" w:type="dxa"/>
              <w:right w:w="15" w:type="dxa"/>
            </w:tcMar>
            <w:vAlign w:val="bottom"/>
          </w:tcPr>
          <w:p>
            <w:pPr>
              <w:rPr>
                <w:rFonts w:cs="宋体"/>
                <w:color w:val="000000"/>
                <w:sz w:val="20"/>
                <w:szCs w:val="20"/>
              </w:rPr>
            </w:pPr>
          </w:p>
        </w:tc>
        <w:tc>
          <w:tcPr>
            <w:tcW w:w="1762"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62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362" w:hRule="atLeast"/>
          <w:jc w:val="center"/>
        </w:trPr>
        <w:tc>
          <w:tcPr>
            <w:tcW w:w="48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jc w:val="center"/>
        </w:trPr>
        <w:tc>
          <w:tcPr>
            <w:tcW w:w="128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3604"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12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12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12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62" w:hRule="atLeast"/>
          <w:jc w:val="center"/>
        </w:trPr>
        <w:tc>
          <w:tcPr>
            <w:tcW w:w="48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11,000.98</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3,635.09</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7,365.89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1,360.49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1,360.49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1,347.23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1,347.23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236.80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236.80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118.40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118.40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992.03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992.03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13.25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13.25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13.25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13.25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116.47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116.47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18.56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2120804</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农村基础设施建设支出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2,030.02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5,216.89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2,030.02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5,216.89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4,331.49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4,331.49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2140106</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公路养护</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2,915.43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2,030.02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885.40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本表反映单位本年度各项支出情况。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cs="宋体"/>
                <w:b/>
                <w:color w:val="000000"/>
                <w:sz w:val="32"/>
                <w:szCs w:val="32"/>
              </w:rPr>
            </w:pPr>
            <w:r>
              <w:rPr>
                <w:rFonts w:hint="eastAsia"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rPr>
              <w:t>单位</w:t>
            </w:r>
            <w:r>
              <w:rPr>
                <w:rFonts w:hint="eastAsia" w:cs="宋体"/>
                <w:color w:val="000000"/>
                <w:sz w:val="20"/>
                <w:szCs w:val="20"/>
              </w:rPr>
              <w:t>：</w:t>
            </w:r>
            <w:r>
              <w:rPr>
                <w:rFonts w:hint="eastAsia"/>
                <w:color w:val="000000"/>
                <w:sz w:val="20"/>
              </w:rPr>
              <w:t>重庆市綦江区公路事务中心</w:t>
            </w:r>
          </w:p>
        </w:tc>
        <w:tc>
          <w:tcPr>
            <w:tcW w:w="1694"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04</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收</w:t>
            </w:r>
            <w:r>
              <w:rPr>
                <w:rFonts w:cs="宋体"/>
                <w:b/>
                <w:color w:val="000000"/>
                <w:sz w:val="18"/>
                <w:szCs w:val="18"/>
              </w:rPr>
              <w:t xml:space="preserve">     </w:t>
            </w:r>
            <w:r>
              <w:rPr>
                <w:rFonts w:hint="eastAsia" w:cs="宋体"/>
                <w:b/>
                <w:color w:val="000000"/>
                <w:sz w:val="18"/>
                <w:szCs w:val="18"/>
              </w:rPr>
              <w:t>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支</w:t>
            </w:r>
            <w:r>
              <w:rPr>
                <w:rFonts w:cs="宋体"/>
                <w:b/>
                <w:color w:val="000000"/>
                <w:sz w:val="18"/>
                <w:szCs w:val="18"/>
              </w:rPr>
              <w:t xml:space="preserve">     </w:t>
            </w:r>
            <w:r>
              <w:rPr>
                <w:rFonts w:hint="eastAsia" w:cs="宋体"/>
                <w:b/>
                <w:color w:val="000000"/>
                <w:sz w:val="18"/>
                <w:szCs w:val="18"/>
              </w:rPr>
              <w:t>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8,851.98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2,149.00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1,360.49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1,360.49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135.03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135.03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2,149.00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2,149.00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7,246.92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7,246.92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109.54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109.54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hint="eastAsia"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11,000.98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hint="eastAsia"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11,000.98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8,851.98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2,149.00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11,000.98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11,000.98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8,851.98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2,149.00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jc w:val="center"/>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jc w:val="center"/>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jc w:val="center"/>
        </w:trPr>
        <w:tc>
          <w:tcPr>
            <w:tcW w:w="8685" w:type="dxa"/>
            <w:gridSpan w:val="3"/>
            <w:vMerge w:val="restart"/>
            <w:tcBorders>
              <w:top w:val="nil"/>
              <w:left w:val="nil"/>
              <w:right w:val="nil"/>
            </w:tcBorders>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重庆市綦江区公路事务中心</w:t>
            </w:r>
          </w:p>
        </w:tc>
        <w:tc>
          <w:tcPr>
            <w:tcW w:w="3297"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3340"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05</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285" w:hRule="atLeast"/>
          <w:jc w:val="center"/>
        </w:trPr>
        <w:tc>
          <w:tcPr>
            <w:tcW w:w="8685" w:type="dxa"/>
            <w:gridSpan w:val="3"/>
            <w:vMerge w:val="continue"/>
            <w:tcBorders>
              <w:left w:val="nil"/>
              <w:bottom w:val="nil"/>
              <w:right w:val="nil"/>
            </w:tcBorders>
            <w:tcMar>
              <w:top w:w="15" w:type="dxa"/>
              <w:left w:w="15" w:type="dxa"/>
              <w:right w:w="15" w:type="dxa"/>
            </w:tcMar>
            <w:vAlign w:val="bottom"/>
          </w:tcPr>
          <w:p>
            <w:pPr>
              <w:rPr>
                <w:rFonts w:cs="宋体"/>
                <w:color w:val="000000"/>
                <w:sz w:val="20"/>
                <w:szCs w:val="20"/>
              </w:rPr>
            </w:pPr>
          </w:p>
        </w:tc>
        <w:tc>
          <w:tcPr>
            <w:tcW w:w="3297"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3340"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308" w:hRule="atLeast"/>
          <w:jc w:val="center"/>
        </w:trPr>
        <w:tc>
          <w:tcPr>
            <w:tcW w:w="53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本年支出</w:t>
            </w:r>
          </w:p>
        </w:tc>
      </w:tr>
      <w:tr>
        <w:tblPrEx>
          <w:tblLayout w:type="fixed"/>
          <w:tblCellMar>
            <w:top w:w="0" w:type="dxa"/>
            <w:left w:w="0" w:type="dxa"/>
            <w:bottom w:w="0" w:type="dxa"/>
            <w:right w:w="0" w:type="dxa"/>
          </w:tblCellMar>
        </w:tblPrEx>
        <w:trPr>
          <w:trHeight w:val="326" w:hRule="atLeast"/>
          <w:jc w:val="center"/>
        </w:trPr>
        <w:tc>
          <w:tcPr>
            <w:tcW w:w="130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3340"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r>
      <w:tr>
        <w:tblPrEx>
          <w:tblLayout w:type="fixed"/>
          <w:tblCellMar>
            <w:top w:w="0" w:type="dxa"/>
            <w:left w:w="0" w:type="dxa"/>
            <w:bottom w:w="0" w:type="dxa"/>
            <w:right w:w="0" w:type="dxa"/>
          </w:tblCellMar>
        </w:tblPrEx>
        <w:trPr>
          <w:trHeight w:val="326" w:hRule="atLeast"/>
          <w:jc w:val="center"/>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15" w:hRule="atLeast"/>
          <w:jc w:val="center"/>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08" w:hRule="atLeast"/>
          <w:jc w:val="center"/>
        </w:trPr>
        <w:tc>
          <w:tcPr>
            <w:tcW w:w="537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8,851.98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3,635.09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5,216.89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1,360.49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1,360.49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1,347.23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1,347.23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236.80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236.80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118.40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118.40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992.03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992.03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13.25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死亡抚恤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13.25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135.03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116.47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116.47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其他行政事业单位医疗支出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18.56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18.56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2,030.02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5,216.89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7,246.92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2,030.02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5,216.89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4,331.49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4,331.49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2,915.43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2,030.02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885.40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109.54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109.54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本表反映单位本年度一般公共预算财政拨款支出情况。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p>
    <w:p>
      <w:pPr>
        <w:ind w:firstLine="630" w:firstLineChars="300"/>
        <w:rPr>
          <w:rFonts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cs="宋体"/>
                <w:b/>
                <w:color w:val="000000"/>
                <w:sz w:val="32"/>
                <w:szCs w:val="32"/>
              </w:rPr>
            </w:pPr>
            <w:r>
              <w:rPr>
                <w:rFonts w:hint="eastAsia"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rPr>
              <w:t>单位</w:t>
            </w:r>
            <w:r>
              <w:rPr>
                <w:rFonts w:hint="eastAsia" w:cs="宋体"/>
                <w:color w:val="000000"/>
                <w:sz w:val="20"/>
                <w:szCs w:val="20"/>
              </w:rPr>
              <w:t>：</w:t>
            </w:r>
            <w:r>
              <w:rPr>
                <w:rFonts w:hint="eastAsia"/>
                <w:color w:val="000000"/>
                <w:sz w:val="20"/>
              </w:rPr>
              <w:t>重庆市綦江区公路事务中心</w:t>
            </w:r>
          </w:p>
        </w:tc>
        <w:tc>
          <w:tcPr>
            <w:tcW w:w="1417"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872"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3462"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497"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06</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417"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872"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3462" w:type="dxa"/>
            <w:tcBorders>
              <w:top w:val="nil"/>
              <w:left w:val="nil"/>
              <w:bottom w:val="nil"/>
              <w:right w:val="nil"/>
            </w:tcBorders>
            <w:tcMar>
              <w:top w:w="15" w:type="dxa"/>
              <w:left w:w="15" w:type="dxa"/>
              <w:right w:w="15" w:type="dxa"/>
            </w:tcMar>
            <w:vAlign w:val="bottom"/>
          </w:tcPr>
          <w:p>
            <w:pPr>
              <w:spacing w:line="200" w:lineRule="exact"/>
              <w:rPr>
                <w:rFonts w:cs="宋体"/>
                <w:color w:val="000000"/>
                <w:sz w:val="18"/>
                <w:szCs w:val="18"/>
              </w:rPr>
            </w:pPr>
          </w:p>
        </w:tc>
        <w:tc>
          <w:tcPr>
            <w:tcW w:w="1497"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281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15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141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346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149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2,276.61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383.71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2.15</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基本工资</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618.00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办公费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房屋建筑物购建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津贴补贴</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25.50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印刷费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办公设备购置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2.15</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奖金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咨询费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2.31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专用设备购置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伙食补助费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手续费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基础设施建设</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绩效工资</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1,008.61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水费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大型修缮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236.80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电费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信息网络及软件购置更新</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职业年金缴费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118.40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邮电费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19.88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物资储备</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职工基本医疗保险缴费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116.47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取暖费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土地补偿</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公务员医疗补助缴费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物业管理费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安置补助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其他社会保障缴费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24.72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差旅费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地上附着物和青苗补偿</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住房公积金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109.54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因公出国（境）费用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拆迁补偿</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医疗费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18.56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维修（护）费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公务用车购置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其他工资福利支出</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租赁费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其他交通工具购置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972.62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会议费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文物和陈列品购置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离休费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培训费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无形资产购置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退休费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公务接待费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其他资本性支出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退职（役）费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专用材料费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抚恤金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被装购置费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资本金注入</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生活补助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874.91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专用燃料费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政府投资基金股权投资</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救济费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劳务费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费用补贴</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医疗费补助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69.60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委托业务费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利息补贴</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助学金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工会经费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80.00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hint="eastAsia"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奖励金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福利费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175.29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其他对企业补助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个人农业生产补贴</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公务用车运行维护费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27.18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代缴社会保险费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其他交通费用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国家赔偿费用支出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其他对个人和家庭的补助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税金及附加费用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其他商品和服务支出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32.67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经常性赠与</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资本性赠与</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国内债务付息</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国外债务付息</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国内债务发行费用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国外债务发行费用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3,249.23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公用经费合计</w:t>
            </w:r>
          </w:p>
        </w:tc>
        <w:tc>
          <w:tcPr>
            <w:tcW w:w="1497" w:type="dxa"/>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385.85</w:t>
            </w:r>
            <w:r>
              <w:rPr>
                <w:rFonts w:ascii="Times New Roman" w:hAnsi="Times New Roman"/>
                <w:color w:val="000000"/>
                <w:sz w:val="18"/>
              </w:rPr>
              <w:t xml:space="preserve"> </w:t>
            </w:r>
          </w:p>
        </w:tc>
      </w:tr>
    </w:tbl>
    <w:p>
      <w:pPr>
        <w:spacing w:line="28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p>
    <w:p>
      <w:pPr>
        <w:spacing w:line="280" w:lineRule="exact"/>
        <w:rPr>
          <w:rFonts w:cs="宋体"/>
          <w:sz w:val="20"/>
          <w:szCs w:val="20"/>
        </w:rPr>
      </w:pPr>
      <w:r>
        <w:rPr>
          <w:rFonts w:cs="宋体"/>
          <w:sz w:val="21"/>
          <w:szCs w:val="21"/>
        </w:rPr>
        <w:br w:type="page"/>
      </w:r>
    </w:p>
    <w:tbl>
      <w:tblPr>
        <w:tblStyle w:val="12"/>
        <w:tblW w:w="15322" w:type="dxa"/>
        <w:jc w:val="center"/>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jc w:val="center"/>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jc w:val="center"/>
        </w:trPr>
        <w:tc>
          <w:tcPr>
            <w:tcW w:w="6615" w:type="dxa"/>
            <w:gridSpan w:val="3"/>
            <w:vMerge w:val="restart"/>
            <w:tcBorders>
              <w:top w:val="nil"/>
              <w:left w:val="nil"/>
              <w:right w:val="nil"/>
            </w:tcBorders>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重庆市綦江区公路事务中心</w:t>
            </w:r>
          </w:p>
        </w:tc>
        <w:tc>
          <w:tcPr>
            <w:tcW w:w="170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07</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329" w:hRule="atLeast"/>
          <w:jc w:val="center"/>
        </w:trPr>
        <w:tc>
          <w:tcPr>
            <w:tcW w:w="6615" w:type="dxa"/>
            <w:gridSpan w:val="3"/>
            <w:vMerge w:val="continue"/>
            <w:tcBorders>
              <w:left w:val="nil"/>
              <w:bottom w:val="nil"/>
              <w:right w:val="nil"/>
            </w:tcBorders>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339" w:hRule="atLeast"/>
          <w:jc w:val="center"/>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jc w:val="center"/>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4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jc w:val="center"/>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2,149.00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2,149.00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2,149.00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hint="eastAsia" w:cs="宋体"/>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hint="eastAsia"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2,149.00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rPr>
              <w:t>农村基础设施建设支出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2,054.00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95.00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rPr>
          <w:rFonts w:cs="宋体"/>
          <w:sz w:val="21"/>
          <w:szCs w:val="21"/>
        </w:rPr>
      </w:pPr>
      <w:r>
        <w:rPr>
          <w:rFonts w:hint="eastAsia" w:cs="宋体"/>
          <w:sz w:val="20"/>
          <w:szCs w:val="20"/>
        </w:rPr>
        <w:t>备注：</w:t>
      </w:r>
      <w:r>
        <w:rPr>
          <w:rFonts w:cs="宋体"/>
          <w:sz w:val="20"/>
          <w:szCs w:val="20"/>
        </w:rPr>
        <w:t>1.</w:t>
      </w:r>
      <w:r>
        <w:rPr>
          <w:rFonts w:hint="eastAsia" w:cs="宋体"/>
          <w:sz w:val="20"/>
          <w:szCs w:val="20"/>
        </w:rPr>
        <w:t>本表反映单位本年度政府性基金预算财政拨款收入支出及结转和结余情况。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重庆市綦江区公路事务中心</w:t>
            </w:r>
          </w:p>
        </w:tc>
        <w:tc>
          <w:tcPr>
            <w:tcW w:w="3739" w:type="dxa"/>
            <w:gridSpan w:val="3"/>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08</w:t>
            </w:r>
            <w:r>
              <w:rPr>
                <w:rFonts w:hint="eastAsia"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p>
        </w:tc>
        <w:tc>
          <w:tcPr>
            <w:tcW w:w="36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pPr>
        <w:rPr>
          <w:rFonts w:cs="宋体"/>
          <w:sz w:val="21"/>
          <w:szCs w:val="21"/>
        </w:rPr>
      </w:pPr>
      <w:r>
        <w:rPr>
          <w:rFonts w:hint="eastAsia"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hint="eastAsia"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tcMar>
              <w:top w:w="15" w:type="dxa"/>
              <w:left w:w="15" w:type="dxa"/>
              <w:right w:w="15" w:type="dxa"/>
            </w:tcMar>
            <w:vAlign w:val="bottom"/>
          </w:tcPr>
          <w:p>
            <w:pPr>
              <w:spacing w:line="280" w:lineRule="exact"/>
              <w:rPr>
                <w:rFonts w:cs="宋体"/>
                <w:color w:val="000000"/>
                <w:kern w:val="2"/>
                <w:sz w:val="20"/>
                <w:szCs w:val="20"/>
              </w:rPr>
            </w:pPr>
          </w:p>
        </w:tc>
        <w:tc>
          <w:tcPr>
            <w:tcW w:w="2416" w:type="dxa"/>
            <w:tcMar>
              <w:top w:w="15" w:type="dxa"/>
              <w:left w:w="15" w:type="dxa"/>
              <w:right w:w="15" w:type="dxa"/>
            </w:tcMar>
            <w:vAlign w:val="bottom"/>
          </w:tcPr>
          <w:p>
            <w:pPr>
              <w:spacing w:line="280" w:lineRule="exact"/>
              <w:jc w:val="center"/>
              <w:rPr>
                <w:rFonts w:cs="宋体"/>
                <w:color w:val="000000"/>
                <w:kern w:val="2"/>
                <w:sz w:val="20"/>
                <w:szCs w:val="20"/>
              </w:rPr>
            </w:pPr>
          </w:p>
        </w:tc>
        <w:tc>
          <w:tcPr>
            <w:tcW w:w="2374" w:type="dxa"/>
            <w:tcMar>
              <w:top w:w="15" w:type="dxa"/>
              <w:left w:w="15" w:type="dxa"/>
              <w:right w:w="15" w:type="dxa"/>
            </w:tcMar>
            <w:vAlign w:val="bottom"/>
          </w:tcPr>
          <w:p>
            <w:pPr>
              <w:spacing w:line="280" w:lineRule="exact"/>
              <w:jc w:val="right"/>
              <w:rPr>
                <w:rFonts w:cs="宋体"/>
                <w:color w:val="000000"/>
                <w:kern w:val="2"/>
                <w:sz w:val="20"/>
                <w:szCs w:val="20"/>
              </w:rPr>
            </w:pPr>
          </w:p>
        </w:tc>
        <w:tc>
          <w:tcPr>
            <w:tcW w:w="3671" w:type="dxa"/>
            <w:tcMar>
              <w:top w:w="15" w:type="dxa"/>
              <w:left w:w="15" w:type="dxa"/>
              <w:right w:w="15" w:type="dxa"/>
            </w:tcMar>
            <w:vAlign w:val="bottom"/>
          </w:tcPr>
          <w:p>
            <w:pPr>
              <w:spacing w:line="280" w:lineRule="exact"/>
              <w:rPr>
                <w:rFonts w:cs="宋体"/>
                <w:color w:val="000000"/>
                <w:kern w:val="2"/>
                <w:sz w:val="20"/>
                <w:szCs w:val="20"/>
              </w:rPr>
            </w:pPr>
          </w:p>
        </w:tc>
        <w:tc>
          <w:tcPr>
            <w:tcW w:w="2493" w:type="dxa"/>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hint="eastAsia" w:cs="宋体"/>
                <w:color w:val="000000"/>
                <w:kern w:val="2"/>
                <w:sz w:val="20"/>
                <w:szCs w:val="20"/>
              </w:rPr>
              <w:t>公开</w:t>
            </w:r>
            <w:r>
              <w:rPr>
                <w:rFonts w:ascii="Times New Roman" w:hAnsi="Times New Roman"/>
                <w:color w:val="000000"/>
                <w:kern w:val="2"/>
                <w:sz w:val="20"/>
                <w:szCs w:val="20"/>
              </w:rPr>
              <w:t>09</w:t>
            </w:r>
            <w:r>
              <w:rPr>
                <w:rFonts w:hint="eastAsia"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cs="宋体"/>
                <w:color w:val="000000"/>
                <w:kern w:val="2"/>
                <w:sz w:val="20"/>
                <w:szCs w:val="20"/>
              </w:rPr>
            </w:pPr>
            <w:r>
              <w:rPr>
                <w:rFonts w:hint="eastAsia" w:cs="宋体"/>
                <w:kern w:val="2"/>
                <w:sz w:val="20"/>
                <w:szCs w:val="20"/>
              </w:rPr>
              <w:t>单位</w:t>
            </w:r>
            <w:r>
              <w:rPr>
                <w:rFonts w:hint="eastAsia" w:cs="宋体"/>
                <w:color w:val="000000"/>
                <w:kern w:val="2"/>
                <w:sz w:val="20"/>
                <w:szCs w:val="20"/>
              </w:rPr>
              <w:t>：</w:t>
            </w:r>
            <w:r>
              <w:rPr>
                <w:rFonts w:hint="eastAsia"/>
                <w:color w:val="000000"/>
                <w:sz w:val="20"/>
              </w:rPr>
              <w:t>重庆市綦江区公路事务中心</w:t>
            </w:r>
          </w:p>
        </w:tc>
        <w:tc>
          <w:tcPr>
            <w:tcW w:w="237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cs="宋体"/>
                <w:color w:val="000000"/>
                <w:kern w:val="2"/>
                <w:sz w:val="20"/>
                <w:szCs w:val="20"/>
              </w:rPr>
            </w:pPr>
          </w:p>
        </w:tc>
        <w:tc>
          <w:tcPr>
            <w:tcW w:w="3671" w:type="dxa"/>
            <w:tcBorders>
              <w:top w:val="nil"/>
              <w:left w:val="nil"/>
              <w:bottom w:val="single" w:color="auto" w:sz="4" w:space="0"/>
              <w:right w:val="nil"/>
            </w:tcBorders>
            <w:tcMar>
              <w:top w:w="15" w:type="dxa"/>
              <w:left w:w="15" w:type="dxa"/>
              <w:right w:w="15" w:type="dxa"/>
            </w:tcMar>
            <w:vAlign w:val="bottom"/>
          </w:tcPr>
          <w:p>
            <w:pPr>
              <w:spacing w:line="280" w:lineRule="exact"/>
              <w:rPr>
                <w:rFonts w:cs="宋体"/>
                <w:color w:val="000000"/>
                <w:kern w:val="2"/>
                <w:sz w:val="20"/>
                <w:szCs w:val="20"/>
              </w:rPr>
            </w:pPr>
          </w:p>
        </w:tc>
        <w:tc>
          <w:tcPr>
            <w:tcW w:w="2493"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hint="eastAsia" w:cs="宋体"/>
                <w:color w:val="000000"/>
                <w:kern w:val="2"/>
                <w:sz w:val="20"/>
                <w:szCs w:val="20"/>
              </w:rPr>
              <w:t>单位：</w:t>
            </w:r>
            <w:r>
              <w:rPr>
                <w:rFonts w:hint="eastAsia"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项</w:t>
            </w:r>
            <w:r>
              <w:rPr>
                <w:rFonts w:cs="宋体"/>
                <w:b/>
                <w:color w:val="000000"/>
                <w:kern w:val="2"/>
                <w:sz w:val="16"/>
                <w:szCs w:val="16"/>
              </w:rPr>
              <w:t xml:space="preserve">  </w:t>
            </w:r>
            <w:r>
              <w:rPr>
                <w:rFonts w:hint="eastAsia" w:cs="宋体"/>
                <w:b/>
                <w:color w:val="000000"/>
                <w:kern w:val="2"/>
                <w:sz w:val="16"/>
                <w:szCs w:val="16"/>
              </w:rPr>
              <w:t>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项</w:t>
            </w:r>
            <w:r>
              <w:rPr>
                <w:rFonts w:cs="宋体"/>
                <w:b/>
                <w:color w:val="000000"/>
                <w:kern w:val="2"/>
                <w:sz w:val="16"/>
                <w:szCs w:val="16"/>
              </w:rPr>
              <w:t xml:space="preserve">  </w:t>
            </w:r>
            <w:r>
              <w:rPr>
                <w:rFonts w:hint="eastAsia" w:cs="宋体"/>
                <w:b/>
                <w:color w:val="000000"/>
                <w:kern w:val="2"/>
                <w:sz w:val="16"/>
                <w:szCs w:val="16"/>
              </w:rPr>
              <w:t>目</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27.18</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27.18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（一）行政单位</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（二）参照公务员法管理事业单位</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27.18</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27.18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hint="eastAsia"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1</w:t>
            </w:r>
            <w:r>
              <w:rPr>
                <w:rFonts w:hint="eastAsia"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（一）车辆数合计（辆）</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2</w:t>
            </w:r>
            <w:r>
              <w:rPr>
                <w:rFonts w:hint="eastAsia"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27.18</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27.18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．副部（省）级及以上领导用车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．主要领导干部用车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1</w:t>
            </w:r>
            <w:r>
              <w:rPr>
                <w:rFonts w:hint="eastAsia"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．机要通信用车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hint="eastAsia" w:cs="宋体"/>
                <w:b/>
                <w:bCs/>
                <w:color w:val="000000"/>
                <w:kern w:val="2"/>
                <w:sz w:val="16"/>
                <w:szCs w:val="16"/>
              </w:rPr>
              <w:t>．应急保障用车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2</w:t>
            </w:r>
            <w:r>
              <w:rPr>
                <w:rFonts w:hint="eastAsia"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hint="eastAsia" w:cs="宋体"/>
                <w:b/>
                <w:bCs/>
                <w:color w:val="000000"/>
                <w:kern w:val="2"/>
                <w:sz w:val="16"/>
                <w:szCs w:val="16"/>
              </w:rPr>
              <w:t>．执法执勤用车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hint="eastAsia" w:cs="宋体"/>
                <w:b/>
                <w:bCs/>
                <w:color w:val="000000"/>
                <w:kern w:val="2"/>
                <w:sz w:val="16"/>
                <w:szCs w:val="16"/>
              </w:rPr>
              <w:t>．特种专业技术用车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hint="eastAsia" w:cs="宋体"/>
                <w:b/>
                <w:bCs/>
                <w:color w:val="000000"/>
                <w:kern w:val="2"/>
                <w:sz w:val="16"/>
                <w:szCs w:val="16"/>
              </w:rPr>
              <w:t>．离退休干部用车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hint="eastAsia" w:cs="宋体"/>
                <w:b/>
                <w:bCs/>
                <w:color w:val="000000"/>
                <w:kern w:val="2"/>
                <w:sz w:val="16"/>
                <w:szCs w:val="16"/>
              </w:rPr>
              <w:t>．其他用车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（二）单价</w:t>
            </w:r>
            <w:r>
              <w:rPr>
                <w:rFonts w:cs="宋体"/>
                <w:b/>
                <w:bCs/>
                <w:color w:val="000000"/>
                <w:kern w:val="2"/>
                <w:sz w:val="16"/>
                <w:szCs w:val="16"/>
              </w:rPr>
              <w:t>100</w:t>
            </w:r>
            <w:r>
              <w:rPr>
                <w:rFonts w:hint="eastAsia" w:cs="宋体"/>
                <w:b/>
                <w:bCs/>
                <w:color w:val="000000"/>
                <w:kern w:val="2"/>
                <w:sz w:val="16"/>
                <w:szCs w:val="16"/>
              </w:rPr>
              <w:t>万元（含）以上设备（不含车辆）</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hint="eastAsia"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11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hint="eastAsia"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hint="eastAsia"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（一）政府采购支出合计</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16,852.04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．政府采购货物支出</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6,421.47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hint="eastAsia"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．政府采购工程支出</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7,302.65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．政府采购服务支出</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3,127.93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hint="eastAsia"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（二）政府采购授予中小企业合同金额</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14,388.96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hint="eastAsia"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其中：授予小微企业合同金额</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10,207.63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2.40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14.45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cs="宋体"/>
                <w:b/>
                <w:bCs/>
                <w:color w:val="000000"/>
                <w:sz w:val="16"/>
                <w:szCs w:val="16"/>
              </w:rPr>
            </w:pPr>
            <w:r>
              <w:rPr>
                <w:rFonts w:hint="eastAsia"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hint="eastAsia" w:cs="宋体"/>
          <w:sz w:val="18"/>
          <w:szCs w:val="18"/>
        </w:rPr>
        <w:t>备注：</w:t>
      </w:r>
      <w:r>
        <w:rPr>
          <w:rFonts w:cs="宋体"/>
          <w:sz w:val="18"/>
          <w:szCs w:val="18"/>
        </w:rPr>
        <w:t>1.</w:t>
      </w:r>
      <w:r>
        <w:rPr>
          <w:rFonts w:hint="eastAsia"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w:t>
      </w:r>
      <w:r>
        <w:rPr>
          <w:rFonts w:hint="eastAsia" w:cs="宋体"/>
          <w:sz w:val="18"/>
          <w:szCs w:val="18"/>
        </w:rPr>
        <w:t>本套报表金额单位转换时可能存在尾数误差。</w:t>
      </w:r>
    </w:p>
    <w:sectPr>
      <w:headerReference r:id="rId9" w:type="default"/>
      <w:footerReference r:id="rId10"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pict>
        <v:shape id="_x0000_s2049" o:spid="_x0000_s2049" o:spt="202" type="#_x0000_t202" style="position:absolute;left:0pt;margin-top:0pt;height:144pt;width:144pt;mso-position-horizontal:center;mso-position-horizontal-relative:margin;mso-wrap-style:none;z-index:251657216;mso-width-relative:page;mso-height-relative:page;" filled="f" stroked="f" coordsize="21600,21600" o:allowoverlap="f">
          <v:path/>
          <v:fill on="f" focussize="0,0"/>
          <v:stroke on="f" weight="0.5pt" joinstyle="miter"/>
          <v:imagedata o:title=""/>
          <o:lock v:ext="edit"/>
          <v:textbox inset="0mm,0mm,0mm,0mm" style="mso-fit-shape-to-text:t;">
            <w:txbxContent>
              <w:p>
                <w:pPr>
                  <w:pStyle w:val="5"/>
                </w:pPr>
                <w:r>
                  <w:t xml:space="preserve"> </w:t>
                </w:r>
                <w:r>
                  <w:fldChar w:fldCharType="begin"/>
                </w:r>
                <w:r>
                  <w:instrText xml:space="preserve">PAGE   \* MERGEFORMAT</w:instrText>
                </w:r>
                <w:r>
                  <w:fldChar w:fldCharType="separate"/>
                </w:r>
                <w:r>
                  <w:rPr>
                    <w:lang w:val="zh-CN"/>
                  </w:rPr>
                  <w:t>8</w:t>
                </w:r>
                <w:r>
                  <w:rPr>
                    <w:lang w:val="zh-CN"/>
                  </w:rPr>
                  <w:fldChar w:fldCharType="end"/>
                </w:r>
                <w:r>
                  <w:t xml:space="preserve"> </w:t>
                </w:r>
              </w:p>
            </w:txbxContent>
          </v:textbox>
        </v:shape>
      </w:pict>
    </w:r>
    <w:r>
      <w:pict>
        <v:shape id="_x0000_s2050" o:spid="_x0000_s2050" o:spt="202" type="#_x0000_t202" style="position:absolute;left:0pt;margin-top:1160.4pt;height:17.4pt;width:144pt;mso-position-horizontal:center;mso-position-horizontal-relative:margin;mso-position-vertical-relative:page;mso-wrap-style:none;z-index:251656192;mso-width-relative:page;mso-height-relative:page;" filled="f" stroked="f" coordsize="21600,21600" o:allowoverlap="f">
          <v:path/>
          <v:fill on="f" focussize="0,0"/>
          <v:stroke on="f" weight="0.5pt" joinstyle="miter"/>
          <v:imagedata o:title=""/>
          <o:lock v:ext="edit"/>
          <v:textbox inset="0mm,0mm,0mm,0mm">
            <w:txbxContent>
              <w:p>
                <w:pPr>
                  <w:pStyle w:val="5"/>
                  <w:jc w:val="both"/>
                  <w:rPr>
                    <w:rFonts w:cs="宋体"/>
                  </w:rPr>
                </w:pPr>
                <w:r>
                  <w:rPr>
                    <w:rFonts w:cs="宋体"/>
                  </w:rPr>
                  <w:t>— 27.1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allowoverlap="f">
          <v:path/>
          <v:fill on="f" focussize="0,0"/>
          <v:stroke on="f" weight="0.5pt" joinstyle="miter"/>
          <v:imagedata o:title=""/>
          <o:lock v:ext="edit"/>
          <v:textbox inset="0mm,0mm,0mm,0mm" style="mso-fit-shape-to-text:t;">
            <w:txbxContent>
              <w:p>
                <w:pPr>
                  <w:pStyle w:val="5"/>
                </w:pPr>
                <w:r>
                  <w:t xml:space="preserve"> </w:t>
                </w:r>
                <w:r>
                  <w:fldChar w:fldCharType="begin"/>
                </w:r>
                <w:r>
                  <w:instrText xml:space="preserve">PAGE   \* MERGEFORMAT</w:instrText>
                </w:r>
                <w:r>
                  <w:fldChar w:fldCharType="separate"/>
                </w:r>
                <w:r>
                  <w:rPr>
                    <w:lang w:val="zh-CN"/>
                  </w:rPr>
                  <w:t>-</w:t>
                </w:r>
                <w:r>
                  <w:t xml:space="preserve"> 9 -</w:t>
                </w:r>
                <w:r>
                  <w:fldChar w:fldCharType="end"/>
                </w:r>
                <w:r>
                  <w:t xml:space="preserve"> </w:t>
                </w:r>
              </w:p>
            </w:txbxContent>
          </v:textbox>
        </v:shape>
      </w:pict>
    </w:r>
    <w:r>
      <w:pict>
        <v:shape id="_x0000_s2052" o:spid="_x0000_s2052"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v:path/>
          <v:fill on="f" focussize="0,0"/>
          <v:stroke on="f" weight="0.5pt" joinstyle="miter"/>
          <v:imagedata o:title=""/>
          <o:lock v:ext="edit"/>
          <v:textbox inset="0mm,0mm,0mm,0mm">
            <w:txbxContent>
              <w:p>
                <w:pPr>
                  <w:pStyle w:val="5"/>
                  <w:jc w:val="both"/>
                  <w:rPr>
                    <w:rFonts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QwYWQ1YTE0ZDA0NjgxYzlhMjZlMDExNTFmMWI3MmEifQ=="/>
  </w:docVars>
  <w:rsids>
    <w:rsidRoot w:val="00B03CCD"/>
    <w:rsid w:val="0000133B"/>
    <w:rsid w:val="000239C6"/>
    <w:rsid w:val="00041E44"/>
    <w:rsid w:val="00052C5B"/>
    <w:rsid w:val="00063793"/>
    <w:rsid w:val="000A5B15"/>
    <w:rsid w:val="000D753C"/>
    <w:rsid w:val="000E47E7"/>
    <w:rsid w:val="000F5520"/>
    <w:rsid w:val="001107A5"/>
    <w:rsid w:val="0013416E"/>
    <w:rsid w:val="001932D0"/>
    <w:rsid w:val="001C3197"/>
    <w:rsid w:val="001D3BB7"/>
    <w:rsid w:val="001F5DF5"/>
    <w:rsid w:val="0026604A"/>
    <w:rsid w:val="00273926"/>
    <w:rsid w:val="00287975"/>
    <w:rsid w:val="002B254B"/>
    <w:rsid w:val="002D7627"/>
    <w:rsid w:val="0033248B"/>
    <w:rsid w:val="00342D24"/>
    <w:rsid w:val="003F4D92"/>
    <w:rsid w:val="004348BE"/>
    <w:rsid w:val="00436186"/>
    <w:rsid w:val="00466C9B"/>
    <w:rsid w:val="004C524C"/>
    <w:rsid w:val="0053562E"/>
    <w:rsid w:val="0055070B"/>
    <w:rsid w:val="00550ABE"/>
    <w:rsid w:val="005C3AA6"/>
    <w:rsid w:val="005F2716"/>
    <w:rsid w:val="00600C86"/>
    <w:rsid w:val="00612148"/>
    <w:rsid w:val="00624EED"/>
    <w:rsid w:val="00627632"/>
    <w:rsid w:val="00631C33"/>
    <w:rsid w:val="00660C40"/>
    <w:rsid w:val="006C74DE"/>
    <w:rsid w:val="00770383"/>
    <w:rsid w:val="007819D4"/>
    <w:rsid w:val="00785983"/>
    <w:rsid w:val="007B419D"/>
    <w:rsid w:val="007B7C4B"/>
    <w:rsid w:val="007C6DF3"/>
    <w:rsid w:val="007D3D39"/>
    <w:rsid w:val="007F0FB2"/>
    <w:rsid w:val="007F6008"/>
    <w:rsid w:val="00866175"/>
    <w:rsid w:val="0087364F"/>
    <w:rsid w:val="00886281"/>
    <w:rsid w:val="008C74A9"/>
    <w:rsid w:val="008E0D74"/>
    <w:rsid w:val="00914BDC"/>
    <w:rsid w:val="00914F8F"/>
    <w:rsid w:val="00920A23"/>
    <w:rsid w:val="00933418"/>
    <w:rsid w:val="00964249"/>
    <w:rsid w:val="00977288"/>
    <w:rsid w:val="009876FF"/>
    <w:rsid w:val="00994AF7"/>
    <w:rsid w:val="009B67B8"/>
    <w:rsid w:val="009D2B67"/>
    <w:rsid w:val="00A12C67"/>
    <w:rsid w:val="00A164C3"/>
    <w:rsid w:val="00A566F9"/>
    <w:rsid w:val="00AB5F34"/>
    <w:rsid w:val="00AC4015"/>
    <w:rsid w:val="00AE4CB2"/>
    <w:rsid w:val="00AF2751"/>
    <w:rsid w:val="00B03CCD"/>
    <w:rsid w:val="00B36CE6"/>
    <w:rsid w:val="00B41C05"/>
    <w:rsid w:val="00B442B9"/>
    <w:rsid w:val="00B70090"/>
    <w:rsid w:val="00BA31C5"/>
    <w:rsid w:val="00BD54DD"/>
    <w:rsid w:val="00BE2B89"/>
    <w:rsid w:val="00BF3A12"/>
    <w:rsid w:val="00C10E9E"/>
    <w:rsid w:val="00C20C3E"/>
    <w:rsid w:val="00C30442"/>
    <w:rsid w:val="00C6256B"/>
    <w:rsid w:val="00CD3FAD"/>
    <w:rsid w:val="00CF2ACF"/>
    <w:rsid w:val="00D33BFB"/>
    <w:rsid w:val="00D87B5D"/>
    <w:rsid w:val="00DB6946"/>
    <w:rsid w:val="00E01E4E"/>
    <w:rsid w:val="00E4481B"/>
    <w:rsid w:val="00E478AA"/>
    <w:rsid w:val="00E918D3"/>
    <w:rsid w:val="00E94F0D"/>
    <w:rsid w:val="00EA5B11"/>
    <w:rsid w:val="00EC07F3"/>
    <w:rsid w:val="00F73F90"/>
    <w:rsid w:val="00F97388"/>
    <w:rsid w:val="00FB11FD"/>
    <w:rsid w:val="00FB4B3B"/>
    <w:rsid w:val="00FF790C"/>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5159F6"/>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nhideWhenUsed="0"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kern w:val="0"/>
      <w:sz w:val="24"/>
      <w:szCs w:val="24"/>
      <w:lang w:val="en-US" w:eastAsia="zh-CN" w:bidi="ar-SA"/>
    </w:rPr>
  </w:style>
  <w:style w:type="character" w:default="1" w:styleId="10">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link w:val="23"/>
    <w:locked/>
    <w:uiPriority w:val="99"/>
    <w:pPr>
      <w:spacing w:after="120"/>
      <w:ind w:left="420" w:leftChars="200"/>
    </w:pPr>
    <w:rPr>
      <w:rFonts w:cs="宋体"/>
    </w:rPr>
  </w:style>
  <w:style w:type="paragraph" w:styleId="3">
    <w:name w:val="Body Text First Indent 2"/>
    <w:basedOn w:val="2"/>
    <w:next w:val="1"/>
    <w:link w:val="24"/>
    <w:locked/>
    <w:uiPriority w:val="99"/>
    <w:pPr>
      <w:ind w:firstLine="420" w:firstLineChars="200"/>
    </w:pPr>
  </w:style>
  <w:style w:type="paragraph" w:styleId="4">
    <w:name w:val="Balloon Text"/>
    <w:basedOn w:val="1"/>
    <w:link w:val="14"/>
    <w:uiPriority w:val="99"/>
    <w:rPr>
      <w:sz w:val="18"/>
      <w:szCs w:val="18"/>
    </w:rPr>
  </w:style>
  <w:style w:type="paragraph" w:styleId="5">
    <w:name w:val="footer"/>
    <w:basedOn w:val="1"/>
    <w:link w:val="15"/>
    <w:uiPriority w:val="99"/>
    <w:pPr>
      <w:tabs>
        <w:tab w:val="center" w:pos="4153"/>
        <w:tab w:val="right" w:pos="8306"/>
      </w:tabs>
      <w:snapToGrid w:val="0"/>
    </w:pPr>
    <w:rPr>
      <w:sz w:val="18"/>
      <w:szCs w:val="18"/>
    </w:rPr>
  </w:style>
  <w:style w:type="paragraph" w:styleId="6">
    <w:name w:val="header"/>
    <w:basedOn w:val="1"/>
    <w:link w:val="16"/>
    <w:uiPriority w:val="99"/>
    <w:pPr>
      <w:tabs>
        <w:tab w:val="center" w:pos="4153"/>
        <w:tab w:val="right" w:pos="8306"/>
      </w:tabs>
      <w:snapToGrid w:val="0"/>
      <w:jc w:val="center"/>
    </w:pPr>
    <w:rPr>
      <w:sz w:val="18"/>
      <w:szCs w:val="18"/>
    </w:rPr>
  </w:style>
  <w:style w:type="paragraph" w:styleId="7">
    <w:name w:val="footnote text"/>
    <w:basedOn w:val="1"/>
    <w:next w:val="3"/>
    <w:link w:val="22"/>
    <w:semiHidden/>
    <w:locked/>
    <w:uiPriority w:val="99"/>
    <w:pPr>
      <w:snapToGrid w:val="0"/>
    </w:pPr>
    <w:rPr>
      <w:sz w:val="18"/>
      <w:szCs w:val="18"/>
    </w:rPr>
  </w:style>
  <w:style w:type="paragraph" w:styleId="8">
    <w:name w:val="HTML Preformatted"/>
    <w:basedOn w:val="1"/>
    <w:link w:val="17"/>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iPriority w:val="99"/>
    <w:pPr>
      <w:spacing w:before="100" w:beforeAutospacing="1" w:after="100" w:afterAutospacing="1"/>
    </w:pPr>
  </w:style>
  <w:style w:type="character" w:styleId="11">
    <w:name w:val="Strong"/>
    <w:basedOn w:val="10"/>
    <w:qFormat/>
    <w:uiPriority w:val="99"/>
    <w:rPr>
      <w:rFonts w:cs="Times New Roman"/>
      <w:b/>
    </w:rPr>
  </w:style>
  <w:style w:type="table" w:styleId="13">
    <w:name w:val="Table Grid"/>
    <w:basedOn w:val="12"/>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Balloon Text Char"/>
    <w:basedOn w:val="10"/>
    <w:link w:val="4"/>
    <w:qFormat/>
    <w:locked/>
    <w:uiPriority w:val="99"/>
    <w:rPr>
      <w:rFonts w:ascii="宋体" w:eastAsia="宋体" w:cs="Times New Roman"/>
      <w:sz w:val="18"/>
      <w:szCs w:val="18"/>
    </w:rPr>
  </w:style>
  <w:style w:type="character" w:customStyle="1" w:styleId="15">
    <w:name w:val="Footer Char"/>
    <w:basedOn w:val="10"/>
    <w:link w:val="5"/>
    <w:semiHidden/>
    <w:locked/>
    <w:uiPriority w:val="99"/>
    <w:rPr>
      <w:rFonts w:ascii="宋体" w:eastAsia="宋体" w:cs="Times New Roman"/>
      <w:kern w:val="0"/>
      <w:sz w:val="18"/>
      <w:szCs w:val="18"/>
    </w:rPr>
  </w:style>
  <w:style w:type="character" w:customStyle="1" w:styleId="16">
    <w:name w:val="Header Char"/>
    <w:basedOn w:val="10"/>
    <w:link w:val="6"/>
    <w:semiHidden/>
    <w:locked/>
    <w:uiPriority w:val="99"/>
    <w:rPr>
      <w:rFonts w:ascii="宋体" w:eastAsia="宋体" w:cs="Times New Roman"/>
      <w:kern w:val="0"/>
      <w:sz w:val="18"/>
      <w:szCs w:val="18"/>
    </w:rPr>
  </w:style>
  <w:style w:type="character" w:customStyle="1" w:styleId="17">
    <w:name w:val="HTML Preformatted Char"/>
    <w:basedOn w:val="10"/>
    <w:link w:val="8"/>
    <w:semiHidden/>
    <w:locked/>
    <w:uiPriority w:val="99"/>
    <w:rPr>
      <w:rFonts w:ascii="Courier New" w:hAnsi="Courier New" w:cs="Courier New"/>
      <w:kern w:val="0"/>
      <w:sz w:val="20"/>
      <w:szCs w:val="20"/>
    </w:rPr>
  </w:style>
  <w:style w:type="paragraph" w:customStyle="1" w:styleId="18">
    <w:name w:val="列出段落1"/>
    <w:basedOn w:val="1"/>
    <w:uiPriority w:val="99"/>
    <w:pPr>
      <w:ind w:firstLine="420" w:firstLineChars="200"/>
    </w:pPr>
  </w:style>
  <w:style w:type="paragraph" w:customStyle="1" w:styleId="19">
    <w:name w:val="普通(网站) Char"/>
    <w:uiPriority w:val="99"/>
    <w:pPr>
      <w:spacing w:before="100" w:beforeAutospacing="1" w:after="100" w:afterAutospacing="1"/>
    </w:pPr>
    <w:rPr>
      <w:rFonts w:ascii="宋体" w:hAnsi="宋体" w:eastAsia="宋体" w:cs="Times New Roman"/>
      <w:kern w:val="0"/>
      <w:sz w:val="24"/>
      <w:szCs w:val="24"/>
      <w:lang w:val="en-US" w:eastAsia="zh-CN" w:bidi="ar-SA"/>
    </w:rPr>
  </w:style>
  <w:style w:type="character" w:customStyle="1" w:styleId="20">
    <w:name w:val="21"/>
    <w:uiPriority w:val="99"/>
    <w:rPr>
      <w:rFonts w:ascii="Wingdings" w:hAnsi="Wingdings"/>
      <w:b/>
    </w:rPr>
  </w:style>
  <w:style w:type="paragraph" w:customStyle="1" w:styleId="21">
    <w:name w:val="列出段落2"/>
    <w:uiPriority w:val="99"/>
    <w:pPr>
      <w:ind w:firstLine="420" w:firstLineChars="200"/>
    </w:pPr>
    <w:rPr>
      <w:rFonts w:ascii="宋体" w:hAnsi="宋体" w:eastAsia="宋体" w:cs="Times New Roman"/>
      <w:kern w:val="0"/>
      <w:sz w:val="24"/>
      <w:szCs w:val="24"/>
      <w:lang w:val="en-US" w:eastAsia="zh-CN" w:bidi="ar-SA"/>
    </w:rPr>
  </w:style>
  <w:style w:type="character" w:customStyle="1" w:styleId="22">
    <w:name w:val="Footnote Text Char"/>
    <w:basedOn w:val="10"/>
    <w:link w:val="7"/>
    <w:semiHidden/>
    <w:locked/>
    <w:uiPriority w:val="99"/>
    <w:rPr>
      <w:rFonts w:ascii="宋体" w:hAnsi="宋体" w:eastAsia="宋体" w:cs="Times New Roman"/>
      <w:sz w:val="18"/>
      <w:szCs w:val="18"/>
      <w:lang w:val="en-US" w:eastAsia="zh-CN" w:bidi="ar-SA"/>
    </w:rPr>
  </w:style>
  <w:style w:type="character" w:customStyle="1" w:styleId="23">
    <w:name w:val="Body Text Indent Char"/>
    <w:basedOn w:val="10"/>
    <w:link w:val="2"/>
    <w:semiHidden/>
    <w:locked/>
    <w:uiPriority w:val="99"/>
    <w:rPr>
      <w:rFonts w:ascii="宋体" w:hAnsi="宋体" w:eastAsia="宋体" w:cs="宋体"/>
      <w:sz w:val="24"/>
      <w:szCs w:val="24"/>
      <w:lang w:val="en-US" w:eastAsia="zh-CN" w:bidi="ar-SA"/>
    </w:rPr>
  </w:style>
  <w:style w:type="character" w:customStyle="1" w:styleId="24">
    <w:name w:val="Body Text First Indent 2 Char"/>
    <w:basedOn w:val="23"/>
    <w:link w:val="3"/>
    <w:semiHidden/>
    <w:locked/>
    <w:uiPriority w:val="99"/>
  </w:style>
  <w:style w:type="paragraph" w:customStyle="1" w:styleId="25">
    <w:name w:val="List Paragraph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2160</Words>
  <Characters>12313</Characters>
  <Lines>0</Lines>
  <Paragraphs>0</Paragraphs>
  <TotalTime>38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2025-10-23T07:44:00Z</dcterms:created>
  <dc:creator>Administrator</dc:creator>
  <cp:lastModifiedBy>Administrator</cp:lastModifiedBy>
  <dcterms:modified xsi:type="dcterms:W3CDTF">2025-10-30T04:48:45Z</dcterms:modified>
  <dc:title>重庆市綦江区公路事务中心</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BB46EABDBB2749749395447164B066B3_12</vt:lpwstr>
  </property>
</Properties>
</file>