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jc w:val="center"/>
        <w:rPr>
          <w:rFonts w:hint="default" w:ascii="方正小标宋_GBK" w:hAnsi="方正小标宋_GBK" w:eastAsia="方正小标宋_GBK" w:cs="方正小标宋_GBK"/>
          <w:color w:val="auto"/>
          <w:sz w:val="36"/>
          <w:szCs w:val="36"/>
          <w:shd w:val="clear" w:color="auto" w:fill="FFFFFF"/>
        </w:rPr>
      </w:pPr>
      <w:bookmarkStart w:id="0" w:name="_GoBack"/>
      <w:r>
        <w:rPr>
          <w:rFonts w:ascii="方正小标宋_GBK" w:hAnsi="方正小标宋_GBK" w:eastAsia="方正小标宋_GBK" w:cs="方正小标宋_GBK"/>
          <w:color w:val="auto"/>
          <w:sz w:val="36"/>
          <w:szCs w:val="36"/>
        </w:rPr>
        <w:t>重庆市綦江区交通局（本级）</w:t>
      </w:r>
      <w:r>
        <w:rPr>
          <w:rFonts w:ascii="方正小标宋_GBK" w:hAnsi="方正小标宋_GBK" w:eastAsia="方正小标宋_GBK" w:cs="方正小标宋_GBK"/>
          <w:color w:val="auto"/>
          <w:sz w:val="36"/>
          <w:szCs w:val="36"/>
          <w:shd w:val="clear" w:color="auto" w:fill="FFFFFF"/>
        </w:rPr>
        <w:t>2023年度决算公开说明</w:t>
      </w:r>
    </w:p>
    <w:bookmarkEnd w:id="0"/>
    <w:p>
      <w:pPr>
        <w:pStyle w:val="4"/>
        <w:shd w:val="clear" w:color="auto" w:fill="FFFFFF"/>
        <w:rPr>
          <w:rFonts w:hint="default" w:ascii="黑体" w:hAnsi="黑体" w:eastAsia="黑体" w:cs="黑体"/>
          <w:color w:val="auto"/>
          <w:sz w:val="32"/>
          <w:szCs w:val="32"/>
        </w:rPr>
      </w:pPr>
      <w:r>
        <w:rPr>
          <w:rStyle w:val="6"/>
          <w:rFonts w:ascii="黑体" w:hAnsi="黑体" w:eastAsia="黑体" w:cs="黑体"/>
          <w:color w:val="auto"/>
          <w:sz w:val="32"/>
          <w:szCs w:val="32"/>
          <w:shd w:val="clear" w:color="auto" w:fill="FFFFFF"/>
        </w:rPr>
        <w:t>一、单位基本情况</w:t>
      </w:r>
    </w:p>
    <w:p>
      <w:pPr>
        <w:pStyle w:val="4"/>
        <w:shd w:val="clear" w:color="auto" w:fill="FFFFFF"/>
        <w:ind w:firstLine="420"/>
        <w:rPr>
          <w:rFonts w:hint="default" w:ascii="方正仿宋_GBK" w:hAnsi="方正仿宋_GBK" w:eastAsia="方正仿宋_GBK" w:cs="方正仿宋_GBK"/>
          <w:color w:val="auto"/>
          <w:sz w:val="32"/>
          <w:szCs w:val="32"/>
        </w:rPr>
      </w:pPr>
      <w:r>
        <w:rPr>
          <w:rStyle w:val="6"/>
          <w:rFonts w:ascii="楷体" w:hAnsi="楷体" w:eastAsia="楷体" w:cs="楷体"/>
          <w:color w:val="auto"/>
          <w:sz w:val="32"/>
          <w:szCs w:val="32"/>
          <w:shd w:val="clear" w:color="auto" w:fill="FFFFFF"/>
        </w:rPr>
        <w:t>（一）职能职责</w:t>
      </w:r>
    </w:p>
    <w:p>
      <w:pPr>
        <w:spacing w:line="560" w:lineRule="exact"/>
        <w:ind w:firstLine="640" w:firstLineChars="200"/>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rPr>
        <w:t>1.贯彻执行交通运输法律、法规、规章和方针政策；拟定全区涉及交通运输行业发展的规范性文件、有关实施细则、管理规定和改革方案，并监督执行；负责交通运输经济运行监测，研究交通运输行业发展趋势和重大问题；指导交通运输行业的体制改革。</w:t>
      </w:r>
    </w:p>
    <w:p>
      <w:pPr>
        <w:spacing w:line="560" w:lineRule="exact"/>
        <w:ind w:firstLine="640" w:firstLineChars="200"/>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rPr>
        <w:t>2.拟订全区综合交通运输发展战略和政策；牵头会同有关部门组织编制综合交通运输体系规划和公路、水路、铁路、民航发展中长期规划，并组织实施；组织编制公路建设、航运发展、港口布局、岸线利用、枢纽站场等专项规划，并组织实施；负责交通重点项目的方案研究，可行性研究报告编制及相关专题论证报告编制；负责综合交通运输统计工作；负责对邮政部门提出的邮政行业发展战略和规划进行衔接平衡。</w:t>
      </w:r>
    </w:p>
    <w:p>
      <w:pPr>
        <w:spacing w:line="560" w:lineRule="exact"/>
        <w:ind w:firstLine="640" w:firstLineChars="200"/>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rPr>
        <w:t>3.负责推进综合交通运输体系建设，统筹规划公路、水路、铁路、民航及邮政行业发展，组织协调公路、水路、铁路、航空和公共客运等多种运输方式和基础设施的配套衔接，优化交通运输结构布局，构建综合交通运输体系，促进各种交通运输方式融合；协调做好高速公路、铁路、民航、邮政、海事、航道、船检、救助、打捞等涉地相关工作。</w:t>
      </w:r>
    </w:p>
    <w:p>
      <w:pPr>
        <w:spacing w:line="560" w:lineRule="exact"/>
        <w:ind w:firstLine="640" w:firstLineChars="200"/>
        <w:rPr>
          <w:rFonts w:ascii="方正仿宋_GBK" w:hAnsi="方正仿宋_GBK" w:eastAsia="方正仿宋_GBK" w:cs="方正仿宋_GBK"/>
          <w:color w:val="auto"/>
          <w:sz w:val="32"/>
          <w:szCs w:val="32"/>
          <w:highlight w:val="none"/>
          <w:u w:val="single"/>
        </w:rPr>
      </w:pPr>
      <w:r>
        <w:rPr>
          <w:rFonts w:ascii="方正仿宋_GBK" w:hAnsi="方正仿宋_GBK" w:eastAsia="方正仿宋_GBK" w:cs="方正仿宋_GBK"/>
          <w:color w:val="auto"/>
          <w:sz w:val="32"/>
          <w:szCs w:val="32"/>
          <w:highlight w:val="none"/>
        </w:rPr>
        <w:t>4.负责全区道路、水路运输市场监管和行业稳定；贯彻执行道路、水路运输行业有关政策、准入制度、技术标准和运营规范，并监督实施；指导水陆客货运输和相关业务（旅客运输、货物运输、客货运输站场经营、机动车驾驶员培训、机动车维修、汽车租赁、营运车船技术、从业人员管理）的管理工作；指导辖区船舶的法定检验。</w:t>
      </w:r>
    </w:p>
    <w:p>
      <w:pPr>
        <w:spacing w:line="560" w:lineRule="exact"/>
        <w:ind w:firstLine="640" w:firstLineChars="200"/>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rPr>
        <w:t>5.负责编制全区交通运输发展专项资金的年度预决算，提出全区公路、水路、铁路、民航等公共基础设施投资规模和方向，根据区政府规定权限审批和核准规划内和年度计划规模内公共基础设施投资项目，并组织实施和监督管理；参与交通建设投融资体制改革和有关政策拟订工作；指导、监督交通运输有关规费政策实施。</w:t>
      </w:r>
    </w:p>
    <w:p>
      <w:pPr>
        <w:spacing w:line="560" w:lineRule="exact"/>
        <w:ind w:firstLine="640" w:firstLineChars="200"/>
        <w:rPr>
          <w:rFonts w:ascii="方正仿宋_GBK" w:hAnsi="方正仿宋_GBK" w:eastAsia="方正仿宋_GBK" w:cs="方正仿宋_GBK"/>
          <w:color w:val="auto"/>
          <w:sz w:val="32"/>
          <w:szCs w:val="32"/>
          <w:highlight w:val="none"/>
          <w:u w:val="single"/>
        </w:rPr>
      </w:pPr>
      <w:r>
        <w:rPr>
          <w:rFonts w:ascii="方正仿宋_GBK" w:hAnsi="方正仿宋_GBK" w:eastAsia="方正仿宋_GBK" w:cs="方正仿宋_GBK"/>
          <w:color w:val="auto"/>
          <w:sz w:val="32"/>
          <w:szCs w:val="32"/>
          <w:highlight w:val="none"/>
        </w:rPr>
        <w:t>6.负责统筹协调全区综合交通建设，协调安排项目建设时序；承担全区公路、水运、地方铁路、民航、枢纽站场建设和养护市场监管责任；贯彻执行公路、水运、地方铁路、民航工程建设相关政策、制度和技术标准，并监督实施；指导、协调全区地方公路、水运、地方铁路、民航、枢纽站场交通基础设施建设的工程质量监督管理工作；负责区列养公路的建设、养护、管理工作，指导乡、村道公路的建设、管理、养护工作。</w:t>
      </w:r>
    </w:p>
    <w:p>
      <w:pPr>
        <w:spacing w:line="560" w:lineRule="exact"/>
        <w:ind w:firstLine="640" w:firstLineChars="200"/>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rPr>
        <w:t>7.承担道路运政、水路运政、航道行政、港口行政、地方海事行政、交通工程监督管理、区列养公路路政等行政许可、行政决策职能，指导街镇做好乡村公路行政许可工作；承担交通运输行业深化行政许可制度改革工作；负责监督管理交通运输综合行政执法队伍，负责执法人员培训考核工作；监督指导交通运输综合行政执法工作及重大执法决定的法制审核；组织协调超限超载治理工作；负责交通运输信用体系建设。</w:t>
      </w:r>
    </w:p>
    <w:p>
      <w:pPr>
        <w:spacing w:line="560" w:lineRule="exact"/>
        <w:ind w:firstLine="640" w:firstLineChars="200"/>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rPr>
        <w:t>8.负责交通运输行业安全生产综合监督和应急管理工作；按规定协调全区交通运输领域重大突发公共事件的应急管理和处置；依法组织或参与事故调查处理工作；组织重点、特种、战备、抢险救灾物资，紧急客货运输和重点时段重大交通运输工作；指导交通运输行业应急预案编制与应急体制、机制建设；指导交通运输行业安全教育培训工作；承担区国防动员委员会交通战备办公室工作；指导交通运输行业职业病防治工作；负责职责范围内的平安建设工作。</w:t>
      </w:r>
    </w:p>
    <w:p>
      <w:pPr>
        <w:spacing w:line="560" w:lineRule="exact"/>
        <w:ind w:firstLine="640" w:firstLineChars="200"/>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rPr>
        <w:t>9.负责组织、指导、管理交通运输行业信息化建设，并发布有关信息；统筹指导交通运输行业环境保护和节能减排工作；会同有关部门推进智能交通系统建设，推进交通运输行业科技进步，推广新技术、新工艺和新材料在交通运输行业的应用。</w:t>
      </w:r>
    </w:p>
    <w:p>
      <w:pPr>
        <w:spacing w:line="560" w:lineRule="exact"/>
        <w:ind w:firstLine="640" w:firstLineChars="200"/>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rPr>
        <w:t>10.负责交通运输行业的合作交流工作；指导交通运输行业职业技能培训工作；指导交通运输行业相关协会的工作。</w:t>
      </w:r>
    </w:p>
    <w:p>
      <w:pPr>
        <w:spacing w:line="560" w:lineRule="exact"/>
        <w:ind w:firstLine="640" w:firstLineChars="200"/>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rPr>
        <w:t>11.负责组织指导交通运输行业的招商引资工作。</w:t>
      </w:r>
    </w:p>
    <w:p>
      <w:pPr>
        <w:spacing w:line="560" w:lineRule="exact"/>
        <w:ind w:firstLine="640" w:firstLineChars="200"/>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rPr>
        <w:t>12.负责本系统人才队伍建设。</w:t>
      </w:r>
    </w:p>
    <w:p>
      <w:pPr>
        <w:spacing w:line="560" w:lineRule="exact"/>
        <w:ind w:firstLine="640" w:firstLineChars="200"/>
        <w:rPr>
          <w:rStyle w:val="6"/>
          <w:rFonts w:hint="default" w:ascii="楷体" w:hAnsi="楷体" w:eastAsia="楷体" w:cs="楷体"/>
          <w:color w:val="auto"/>
          <w:sz w:val="32"/>
          <w:szCs w:val="32"/>
          <w:highlight w:val="none"/>
          <w:shd w:val="clear" w:color="auto" w:fill="FFFFFF"/>
        </w:rPr>
      </w:pPr>
      <w:r>
        <w:rPr>
          <w:rFonts w:ascii="方正仿宋_GBK" w:hAnsi="方正仿宋_GBK" w:eastAsia="方正仿宋_GBK" w:cs="方正仿宋_GBK"/>
          <w:color w:val="auto"/>
          <w:sz w:val="32"/>
          <w:szCs w:val="32"/>
          <w:highlight w:val="none"/>
        </w:rPr>
        <w:t>13.完成区委、区政府交办的其他任务。</w:t>
      </w:r>
    </w:p>
    <w:p>
      <w:pPr>
        <w:pStyle w:val="4"/>
        <w:shd w:val="clear" w:color="auto" w:fill="FFFFFF"/>
        <w:ind w:firstLine="420"/>
        <w:rPr>
          <w:rFonts w:hint="default" w:ascii="楷体" w:hAnsi="楷体" w:eastAsia="楷体" w:cs="楷体"/>
          <w:color w:val="auto"/>
          <w:sz w:val="32"/>
          <w:szCs w:val="32"/>
        </w:rPr>
      </w:pPr>
      <w:r>
        <w:rPr>
          <w:rStyle w:val="6"/>
          <w:rFonts w:ascii="楷体" w:hAnsi="楷体" w:eastAsia="楷体" w:cs="楷体"/>
          <w:color w:val="auto"/>
          <w:sz w:val="32"/>
          <w:szCs w:val="32"/>
          <w:shd w:val="clear" w:color="auto" w:fill="FFFFFF"/>
        </w:rPr>
        <w:t>（二）机构设置</w:t>
      </w:r>
    </w:p>
    <w:p>
      <w:pPr>
        <w:pStyle w:val="4"/>
        <w:shd w:val="clear" w:color="auto" w:fill="FFFFFF"/>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区交通局设下列内设机构：办公室（群众工作科）、组织人事科、综合规划科、安全法规科、建设养护管理科（区交通战备办公室）、财务科、行政审批科、铁路民航科（区铁路建设办公室）、农村公路管理科（区农村公路管理局），共</w:t>
      </w:r>
      <w:r>
        <w:rPr>
          <w:rFonts w:hint="eastAsia" w:ascii="方正仿宋_GBK" w:hAnsi="方正仿宋_GBK" w:eastAsia="方正仿宋_GBK" w:cs="方正仿宋_GBK"/>
          <w:color w:val="auto"/>
          <w:sz w:val="32"/>
          <w:szCs w:val="32"/>
          <w:lang w:val="en-US"/>
        </w:rPr>
        <w:t>9</w:t>
      </w:r>
      <w:r>
        <w:rPr>
          <w:rFonts w:hint="eastAsia" w:ascii="方正仿宋_GBK" w:hAnsi="方正仿宋_GBK" w:eastAsia="方正仿宋_GBK" w:cs="方正仿宋_GBK"/>
          <w:color w:val="auto"/>
          <w:sz w:val="32"/>
          <w:szCs w:val="32"/>
          <w:lang w:eastAsia="zh-CN"/>
        </w:rPr>
        <w:t>个科室。</w:t>
      </w:r>
    </w:p>
    <w:p>
      <w:pPr>
        <w:pStyle w:val="4"/>
        <w:shd w:val="clear" w:color="auto" w:fill="FFFFFF"/>
        <w:rPr>
          <w:rStyle w:val="6"/>
          <w:rFonts w:hint="default" w:ascii="黑体" w:hAnsi="黑体" w:eastAsia="黑体" w:cs="黑体"/>
          <w:color w:val="auto"/>
          <w:sz w:val="32"/>
          <w:szCs w:val="32"/>
          <w:shd w:val="clear" w:color="auto" w:fill="FFFFFF"/>
        </w:rPr>
      </w:pPr>
      <w:r>
        <w:rPr>
          <w:rStyle w:val="6"/>
          <w:rFonts w:ascii="黑体" w:hAnsi="黑体" w:eastAsia="黑体" w:cs="黑体"/>
          <w:color w:val="auto"/>
          <w:sz w:val="32"/>
          <w:szCs w:val="32"/>
          <w:shd w:val="clear" w:color="auto" w:fill="FFFFFF"/>
        </w:rPr>
        <w:t>二、单位决算情况说明</w:t>
      </w:r>
    </w:p>
    <w:p>
      <w:pPr>
        <w:pStyle w:val="8"/>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4"/>
        <w:shd w:val="clear" w:color="auto" w:fill="FFFFFF"/>
        <w:ind w:firstLine="643" w:firstLineChars="200"/>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1.总体情况。</w:t>
      </w:r>
      <w:r>
        <w:rPr>
          <w:rFonts w:ascii="方正仿宋_GBK" w:hAnsi="方正仿宋_GBK" w:eastAsia="方正仿宋_GBK" w:cs="方正仿宋_GBK"/>
          <w:color w:val="auto"/>
          <w:sz w:val="32"/>
          <w:szCs w:val="32"/>
          <w:shd w:val="clear" w:color="auto" w:fill="FFFFFF"/>
        </w:rPr>
        <w:t>2023年度收入总计27763.21万元，支出总计</w:t>
      </w:r>
      <w:r>
        <w:rPr>
          <w:rFonts w:ascii="方正仿宋_GBK" w:hAnsi="方正仿宋_GBK" w:eastAsia="方正仿宋_GBK" w:cs="方正仿宋_GBK"/>
          <w:color w:val="auto"/>
          <w:sz w:val="32"/>
          <w:szCs w:val="32"/>
        </w:rPr>
        <w:t>27763.21</w:t>
      </w:r>
      <w:r>
        <w:rPr>
          <w:rFonts w:ascii="方正仿宋_GBK" w:hAnsi="方正仿宋_GBK" w:eastAsia="方正仿宋_GBK" w:cs="方正仿宋_GBK"/>
          <w:color w:val="auto"/>
          <w:sz w:val="32"/>
          <w:szCs w:val="32"/>
          <w:shd w:val="clear" w:color="auto" w:fill="FFFFFF"/>
        </w:rPr>
        <w:t>万元。收支较上年决算数减少26430.14万元，下降48.77%，主要原因是</w:t>
      </w:r>
      <w:r>
        <w:rPr>
          <w:rFonts w:hint="eastAsia" w:ascii="方正仿宋_GBK" w:hAnsi="方正仿宋_GBK" w:eastAsia="方正仿宋_GBK" w:cs="方正仿宋_GBK"/>
          <w:color w:val="auto"/>
          <w:sz w:val="32"/>
          <w:szCs w:val="32"/>
          <w:highlight w:val="none"/>
          <w:shd w:val="clear" w:color="auto" w:fill="FFFFFF"/>
          <w:lang w:val="en-US" w:eastAsia="zh-CN"/>
        </w:rPr>
        <w:t>2022年区财政安排了27000万元债券资金，因此本年收支有所下降。</w:t>
      </w:r>
    </w:p>
    <w:p>
      <w:pPr>
        <w:pStyle w:val="4"/>
        <w:shd w:val="clear" w:color="auto" w:fill="FFFFFF"/>
        <w:ind w:firstLine="643" w:firstLineChars="200"/>
        <w:rPr>
          <w:rFonts w:hint="default" w:ascii="方正仿宋_GBK" w:hAnsi="方正仿宋_GBK" w:eastAsia="方正仿宋_GBK" w:cs="方正仿宋_GBK"/>
          <w:color w:val="auto"/>
          <w:sz w:val="32"/>
          <w:szCs w:val="32"/>
          <w:shd w:val="clear" w:color="auto" w:fill="FFFFFF"/>
        </w:rPr>
      </w:pPr>
      <w:r>
        <w:rPr>
          <w:rStyle w:val="6"/>
          <w:rFonts w:ascii="方正仿宋_GBK" w:hAnsi="方正仿宋_GBK" w:eastAsia="方正仿宋_GBK" w:cs="方正仿宋_GBK"/>
          <w:color w:val="auto"/>
          <w:sz w:val="32"/>
          <w:szCs w:val="32"/>
          <w:shd w:val="clear" w:color="auto" w:fill="FFFFFF"/>
        </w:rPr>
        <w:t>2.收入情况。</w:t>
      </w:r>
      <w:r>
        <w:rPr>
          <w:rFonts w:ascii="方正仿宋_GBK" w:hAnsi="方正仿宋_GBK" w:eastAsia="方正仿宋_GBK" w:cs="方正仿宋_GBK"/>
          <w:color w:val="auto"/>
          <w:sz w:val="32"/>
          <w:szCs w:val="32"/>
          <w:shd w:val="clear" w:color="auto" w:fill="FFFFFF"/>
        </w:rPr>
        <w:t>2023年度收入合计27763.21万元，较上年决算数减少24484.83万元，下降46.86%，主要原因是</w:t>
      </w:r>
      <w:r>
        <w:rPr>
          <w:rFonts w:hint="eastAsia" w:ascii="方正仿宋_GBK" w:hAnsi="方正仿宋_GBK" w:eastAsia="方正仿宋_GBK" w:cs="方正仿宋_GBK"/>
          <w:color w:val="auto"/>
          <w:sz w:val="32"/>
          <w:szCs w:val="32"/>
          <w:highlight w:val="none"/>
          <w:shd w:val="clear" w:color="auto" w:fill="FFFFFF"/>
          <w:lang w:val="en-US" w:eastAsia="zh-CN"/>
        </w:rPr>
        <w:t>2022年区财政安排了27000万元债券资金，因此本年收支有所下降。</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27763.21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4"/>
        <w:shd w:val="clear" w:color="auto" w:fill="FFFFFF"/>
        <w:ind w:firstLine="643" w:firstLineChars="200"/>
        <w:rPr>
          <w:rFonts w:hint="default" w:ascii="方正仿宋_GBK" w:hAnsi="方正仿宋_GBK" w:eastAsia="方正仿宋_GBK" w:cs="方正仿宋_GBK"/>
          <w:color w:val="auto"/>
          <w:sz w:val="32"/>
          <w:szCs w:val="32"/>
          <w:shd w:val="clear" w:color="auto" w:fill="FFFFFF"/>
        </w:rPr>
      </w:pPr>
      <w:r>
        <w:rPr>
          <w:rStyle w:val="6"/>
          <w:rFonts w:ascii="方正仿宋_GBK" w:hAnsi="方正仿宋_GBK" w:eastAsia="方正仿宋_GBK" w:cs="方正仿宋_GBK"/>
          <w:color w:val="auto"/>
          <w:sz w:val="32"/>
          <w:szCs w:val="32"/>
          <w:shd w:val="clear" w:color="auto" w:fill="FFFFFF"/>
        </w:rPr>
        <w:t>3.支出情况。</w:t>
      </w:r>
      <w:r>
        <w:rPr>
          <w:rFonts w:ascii="方正仿宋_GBK" w:hAnsi="方正仿宋_GBK" w:eastAsia="方正仿宋_GBK" w:cs="方正仿宋_GBK"/>
          <w:color w:val="auto"/>
          <w:sz w:val="32"/>
          <w:szCs w:val="32"/>
          <w:shd w:val="clear" w:color="auto" w:fill="FFFFFF"/>
        </w:rPr>
        <w:t>2023年度支出合计</w:t>
      </w:r>
      <w:r>
        <w:rPr>
          <w:rFonts w:ascii="方正仿宋_GBK" w:hAnsi="方正仿宋_GBK" w:eastAsia="方正仿宋_GBK" w:cs="方正仿宋_GBK"/>
          <w:color w:val="auto"/>
          <w:sz w:val="32"/>
          <w:szCs w:val="32"/>
        </w:rPr>
        <w:t>27763.21</w:t>
      </w:r>
      <w:r>
        <w:rPr>
          <w:rFonts w:ascii="方正仿宋_GBK" w:hAnsi="方正仿宋_GBK" w:eastAsia="方正仿宋_GBK" w:cs="方正仿宋_GBK"/>
          <w:color w:val="auto"/>
          <w:sz w:val="32"/>
          <w:szCs w:val="32"/>
          <w:shd w:val="clear" w:color="auto" w:fill="FFFFFF"/>
        </w:rPr>
        <w:t>万元，较上年决算数减少26430.14万元，下降48.77%，主要原因是</w:t>
      </w:r>
      <w:r>
        <w:rPr>
          <w:rFonts w:hint="eastAsia" w:ascii="方正仿宋_GBK" w:hAnsi="方正仿宋_GBK" w:eastAsia="方正仿宋_GBK" w:cs="方正仿宋_GBK"/>
          <w:color w:val="auto"/>
          <w:sz w:val="32"/>
          <w:szCs w:val="32"/>
          <w:highlight w:val="none"/>
          <w:shd w:val="clear" w:color="auto" w:fill="FFFFFF"/>
          <w:lang w:val="en-US" w:eastAsia="zh-CN"/>
        </w:rPr>
        <w:t>2022年区财政安排了27000万元债券资金，因此本年收支有所下降。</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589.99</w:t>
      </w:r>
      <w:r>
        <w:rPr>
          <w:rFonts w:ascii="方正仿宋_GBK" w:hAnsi="方正仿宋_GBK" w:eastAsia="方正仿宋_GBK" w:cs="方正仿宋_GBK"/>
          <w:color w:val="auto"/>
          <w:sz w:val="32"/>
          <w:szCs w:val="32"/>
          <w:shd w:val="clear" w:color="auto" w:fill="FFFFFF"/>
        </w:rPr>
        <w:t>万元，占2.13%；项目支出</w:t>
      </w:r>
      <w:r>
        <w:rPr>
          <w:rFonts w:ascii="方正仿宋_GBK" w:hAnsi="方正仿宋_GBK" w:eastAsia="方正仿宋_GBK" w:cs="方正仿宋_GBK"/>
          <w:color w:val="auto"/>
          <w:sz w:val="32"/>
          <w:szCs w:val="32"/>
        </w:rPr>
        <w:t>27173.22</w:t>
      </w:r>
      <w:r>
        <w:rPr>
          <w:rFonts w:ascii="方正仿宋_GBK" w:hAnsi="方正仿宋_GBK" w:eastAsia="方正仿宋_GBK" w:cs="方正仿宋_GBK"/>
          <w:color w:val="auto"/>
          <w:sz w:val="32"/>
          <w:szCs w:val="32"/>
          <w:shd w:val="clear" w:color="auto" w:fill="FFFFFF"/>
        </w:rPr>
        <w:t>万元，占97.87%；经营支出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4.结转结余情况。</w:t>
      </w:r>
      <w:r>
        <w:rPr>
          <w:rFonts w:ascii="方正仿宋_GBK" w:hAnsi="方正仿宋_GBK" w:eastAsia="方正仿宋_GBK" w:cs="方正仿宋_GBK"/>
          <w:color w:val="auto"/>
          <w:sz w:val="32"/>
          <w:szCs w:val="32"/>
          <w:shd w:val="clear" w:color="auto" w:fill="FFFFFF"/>
        </w:rPr>
        <w:t>2023年度年末结转和结余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万元，较上年决算数无增减，主要原因是</w:t>
      </w:r>
      <w:r>
        <w:rPr>
          <w:rFonts w:hint="eastAsia" w:ascii="方正仿宋_GBK" w:hAnsi="方正仿宋_GBK" w:eastAsia="方正仿宋_GBK" w:cs="方正仿宋_GBK"/>
          <w:color w:val="auto"/>
          <w:sz w:val="32"/>
          <w:szCs w:val="32"/>
          <w:highlight w:val="none"/>
          <w:shd w:val="clear" w:color="auto" w:fill="FFFFFF"/>
          <w:lang w:eastAsia="zh-CN"/>
        </w:rPr>
        <w:t>财政年末对结转结余指标进行了收回。</w:t>
      </w:r>
    </w:p>
    <w:p>
      <w:pPr>
        <w:pStyle w:val="8"/>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2023年度财政拨款收、支总计27763.21万元。与2022年相比，财政拨款收、支总计各减少26430.14万元，下降48.77%。主要原因是</w:t>
      </w:r>
      <w:r>
        <w:rPr>
          <w:rFonts w:hint="eastAsia" w:ascii="方正仿宋_GBK" w:hAnsi="方正仿宋_GBK" w:eastAsia="方正仿宋_GBK" w:cs="方正仿宋_GBK"/>
          <w:color w:val="auto"/>
          <w:sz w:val="32"/>
          <w:szCs w:val="32"/>
          <w:highlight w:val="none"/>
          <w:shd w:val="clear" w:color="auto" w:fill="FFFFFF"/>
          <w:lang w:val="en-US" w:eastAsia="zh-CN"/>
        </w:rPr>
        <w:t>2022年区财政安排了27000万元债券资金，因此本年收支有所下降</w:t>
      </w:r>
      <w:r>
        <w:rPr>
          <w:rFonts w:ascii="方正仿宋_GBK" w:hAnsi="方正仿宋_GBK" w:eastAsia="方正仿宋_GBK" w:cs="方正仿宋_GBK"/>
          <w:color w:val="auto"/>
          <w:sz w:val="32"/>
          <w:szCs w:val="32"/>
          <w:shd w:val="clear" w:color="auto" w:fill="FFFFFF"/>
        </w:rPr>
        <w:t>。</w:t>
      </w:r>
    </w:p>
    <w:p>
      <w:pPr>
        <w:pStyle w:val="8"/>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1.收入情况。</w:t>
      </w:r>
      <w:r>
        <w:rPr>
          <w:rFonts w:ascii="方正仿宋_GBK" w:hAnsi="方正仿宋_GBK" w:eastAsia="方正仿宋_GBK" w:cs="方正仿宋_GBK"/>
          <w:color w:val="auto"/>
          <w:sz w:val="32"/>
          <w:szCs w:val="32"/>
          <w:shd w:val="clear" w:color="auto" w:fill="FFFFFF"/>
        </w:rPr>
        <w:t>2023年度一般公共预算财政拨款收入</w:t>
      </w:r>
      <w:r>
        <w:rPr>
          <w:rFonts w:ascii="方正仿宋_GBK" w:hAnsi="方正仿宋_GBK" w:eastAsia="方正仿宋_GBK" w:cs="方正仿宋_GBK"/>
          <w:color w:val="auto"/>
          <w:sz w:val="32"/>
          <w:szCs w:val="32"/>
        </w:rPr>
        <w:t>25263.21</w:t>
      </w:r>
      <w:r>
        <w:rPr>
          <w:rFonts w:ascii="方正仿宋_GBK" w:hAnsi="方正仿宋_GBK" w:eastAsia="方正仿宋_GBK" w:cs="方正仿宋_GBK"/>
          <w:color w:val="auto"/>
          <w:sz w:val="32"/>
          <w:szCs w:val="32"/>
          <w:shd w:val="clear" w:color="auto" w:fill="FFFFFF"/>
        </w:rPr>
        <w:t>万元，较上年决算数增加3679.76万元，增长17.05%。主要原因是</w:t>
      </w:r>
      <w:r>
        <w:rPr>
          <w:rFonts w:hint="eastAsia" w:ascii="方正仿宋_GBK" w:hAnsi="方正仿宋_GBK" w:eastAsia="方正仿宋_GBK" w:cs="方正仿宋_GBK"/>
          <w:color w:val="auto"/>
          <w:sz w:val="32"/>
          <w:szCs w:val="32"/>
          <w:highlight w:val="none"/>
          <w:shd w:val="clear" w:color="auto" w:fill="FFFFFF"/>
          <w:lang w:eastAsia="zh-CN"/>
        </w:rPr>
        <w:t>本年上级转移支付较</w:t>
      </w:r>
      <w:r>
        <w:rPr>
          <w:rFonts w:hint="eastAsia" w:ascii="方正仿宋_GBK" w:hAnsi="方正仿宋_GBK" w:eastAsia="方正仿宋_GBK" w:cs="方正仿宋_GBK"/>
          <w:color w:val="auto"/>
          <w:sz w:val="32"/>
          <w:szCs w:val="32"/>
          <w:highlight w:val="none"/>
          <w:shd w:val="clear" w:color="auto" w:fill="FFFFFF"/>
          <w:lang w:val="en-US" w:eastAsia="zh-CN"/>
        </w:rPr>
        <w:t>2022年所有增加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较年初预算数减少3627.92万元，下降12.56%。主要原因是</w:t>
      </w:r>
      <w:r>
        <w:rPr>
          <w:rFonts w:hint="eastAsia" w:ascii="方正仿宋_GBK" w:hAnsi="方正仿宋_GBK" w:eastAsia="方正仿宋_GBK" w:cs="方正仿宋_GBK"/>
          <w:color w:val="auto"/>
          <w:sz w:val="32"/>
          <w:szCs w:val="32"/>
          <w:highlight w:val="none"/>
          <w:shd w:val="clear" w:color="auto" w:fill="FFFFFF"/>
          <w:lang w:eastAsia="zh-CN"/>
        </w:rPr>
        <w:t>区财政年末对结转和结余指标进行了追减，导致决算数减小。</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4"/>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auto"/>
          <w:sz w:val="32"/>
          <w:szCs w:val="32"/>
          <w:highlight w:val="none"/>
          <w:shd w:val="clear" w:color="auto" w:fill="FFFFFF"/>
          <w:lang w:val="en-US" w:eastAsia="zh-CN"/>
        </w:rPr>
      </w:pPr>
      <w:r>
        <w:rPr>
          <w:rStyle w:val="6"/>
          <w:rFonts w:ascii="方正仿宋_GBK" w:hAnsi="方正仿宋_GBK" w:eastAsia="方正仿宋_GBK" w:cs="方正仿宋_GBK"/>
          <w:color w:val="auto"/>
          <w:sz w:val="32"/>
          <w:szCs w:val="32"/>
          <w:shd w:val="clear" w:color="auto" w:fill="FFFFFF"/>
        </w:rPr>
        <w:t>2.支出情况。</w:t>
      </w:r>
      <w:r>
        <w:rPr>
          <w:rFonts w:ascii="方正仿宋_GBK" w:hAnsi="方正仿宋_GBK" w:eastAsia="方正仿宋_GBK" w:cs="方正仿宋_GBK"/>
          <w:color w:val="auto"/>
          <w:sz w:val="32"/>
          <w:szCs w:val="32"/>
          <w:shd w:val="clear" w:color="auto" w:fill="FFFFFF"/>
        </w:rPr>
        <w:t>2023年度一般公共预算财政拨款支出</w:t>
      </w:r>
      <w:r>
        <w:rPr>
          <w:rFonts w:ascii="方正仿宋_GBK" w:hAnsi="方正仿宋_GBK" w:eastAsia="方正仿宋_GBK" w:cs="方正仿宋_GBK"/>
          <w:color w:val="auto"/>
          <w:sz w:val="32"/>
          <w:szCs w:val="32"/>
        </w:rPr>
        <w:t>25263.21</w:t>
      </w:r>
      <w:r>
        <w:rPr>
          <w:rFonts w:ascii="方正仿宋_GBK" w:hAnsi="方正仿宋_GBK" w:eastAsia="方正仿宋_GBK" w:cs="方正仿宋_GBK"/>
          <w:color w:val="auto"/>
          <w:sz w:val="32"/>
          <w:szCs w:val="32"/>
          <w:shd w:val="clear" w:color="auto" w:fill="FFFFFF"/>
        </w:rPr>
        <w:t>万元，较上年决算数增加2042.45万元，增长8.80%。主要原因是</w:t>
      </w:r>
      <w:r>
        <w:rPr>
          <w:rFonts w:hint="eastAsia" w:ascii="方正仿宋_GBK" w:hAnsi="方正仿宋_GBK" w:eastAsia="方正仿宋_GBK" w:cs="方正仿宋_GBK"/>
          <w:color w:val="auto"/>
          <w:sz w:val="32"/>
          <w:szCs w:val="32"/>
          <w:highlight w:val="none"/>
          <w:shd w:val="clear" w:color="auto" w:fill="FFFFFF"/>
          <w:lang w:eastAsia="zh-CN"/>
        </w:rPr>
        <w:t>本年上级转移支付较</w:t>
      </w:r>
      <w:r>
        <w:rPr>
          <w:rFonts w:hint="eastAsia" w:ascii="方正仿宋_GBK" w:hAnsi="方正仿宋_GBK" w:eastAsia="方正仿宋_GBK" w:cs="方正仿宋_GBK"/>
          <w:color w:val="auto"/>
          <w:sz w:val="32"/>
          <w:szCs w:val="32"/>
          <w:highlight w:val="none"/>
          <w:shd w:val="clear" w:color="auto" w:fill="FFFFFF"/>
          <w:lang w:val="en-US" w:eastAsia="zh-CN"/>
        </w:rPr>
        <w:t>2022年所有增加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较年初预算数减少3627.92万元，下降12.56%。主要原因是</w:t>
      </w:r>
      <w:r>
        <w:rPr>
          <w:rFonts w:hint="eastAsia" w:ascii="方正仿宋_GBK" w:hAnsi="方正仿宋_GBK" w:eastAsia="方正仿宋_GBK" w:cs="方正仿宋_GBK"/>
          <w:color w:val="auto"/>
          <w:sz w:val="32"/>
          <w:szCs w:val="32"/>
          <w:highlight w:val="none"/>
          <w:shd w:val="clear" w:color="auto" w:fill="FFFFFF"/>
          <w:lang w:eastAsia="zh-CN"/>
        </w:rPr>
        <w:t>区财政年末对结转和结余指标进行了追减，导致决算数减小。</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3.结转结余情况。</w:t>
      </w:r>
      <w:r>
        <w:rPr>
          <w:rFonts w:ascii="方正仿宋_GBK" w:hAnsi="方正仿宋_GBK" w:eastAsia="方正仿宋_GBK" w:cs="方正仿宋_GBK"/>
          <w:color w:val="auto"/>
          <w:sz w:val="32"/>
          <w:szCs w:val="32"/>
          <w:shd w:val="clear" w:color="auto" w:fill="FFFFFF"/>
        </w:rPr>
        <w:t>2023年度年末一般公共预算财政拨款结转和结余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万元，较上年决算数无增减，主要原因是</w:t>
      </w:r>
      <w:r>
        <w:rPr>
          <w:rFonts w:hint="eastAsia" w:ascii="方正仿宋_GBK" w:hAnsi="方正仿宋_GBK" w:eastAsia="方正仿宋_GBK" w:cs="方正仿宋_GBK"/>
          <w:color w:val="auto"/>
          <w:sz w:val="32"/>
          <w:szCs w:val="32"/>
          <w:shd w:val="clear" w:color="auto" w:fill="FFFFFF"/>
          <w:lang w:eastAsia="zh-CN"/>
        </w:rPr>
        <w:t>年末财政收回后无结转结余指标</w:t>
      </w:r>
      <w:r>
        <w:rPr>
          <w:rFonts w:ascii="方正仿宋_GBK" w:hAnsi="方正仿宋_GBK" w:eastAsia="方正仿宋_GBK" w:cs="方正仿宋_GBK"/>
          <w:color w:val="auto"/>
          <w:sz w:val="32"/>
          <w:szCs w:val="32"/>
          <w:shd w:val="clear" w:color="auto" w:fill="FFFFFF"/>
        </w:rPr>
        <w:t>。</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cyan"/>
          <w:shd w:val="clear" w:color="auto" w:fill="FFFFFF"/>
        </w:rPr>
      </w:pPr>
      <w:r>
        <w:rPr>
          <w:rStyle w:val="6"/>
          <w:rFonts w:ascii="方正仿宋_GBK" w:hAnsi="方正仿宋_GBK" w:eastAsia="方正仿宋_GBK" w:cs="方正仿宋_GBK"/>
          <w:color w:val="auto"/>
          <w:sz w:val="32"/>
          <w:szCs w:val="32"/>
          <w:shd w:val="clear" w:color="auto" w:fill="FFFFFF"/>
        </w:rPr>
        <w:t xml:space="preserve"> 4.比较情况。</w:t>
      </w:r>
      <w:r>
        <w:rPr>
          <w:rFonts w:ascii="方正仿宋_GBK" w:hAnsi="方正仿宋_GBK" w:eastAsia="方正仿宋_GBK" w:cs="方正仿宋_GBK"/>
          <w:color w:val="auto"/>
          <w:sz w:val="32"/>
          <w:szCs w:val="32"/>
          <w:shd w:val="clear" w:color="auto" w:fill="FFFFFF"/>
        </w:rPr>
        <w:t>本单位2023年度一般公共预算财政拨款支出主要用于以下几个方面：</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（1）社会保障与就业支出</w:t>
      </w:r>
      <w:r>
        <w:rPr>
          <w:rFonts w:ascii="方正仿宋_GBK" w:hAnsi="方正仿宋_GBK" w:eastAsia="方正仿宋_GBK" w:cs="方正仿宋_GBK"/>
          <w:color w:val="auto"/>
          <w:sz w:val="32"/>
          <w:szCs w:val="32"/>
        </w:rPr>
        <w:t>2932.24</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11.61</w:t>
      </w:r>
      <w:r>
        <w:rPr>
          <w:rFonts w:ascii="方正仿宋_GBK" w:hAnsi="方正仿宋_GBK" w:eastAsia="方正仿宋_GBK" w:cs="方正仿宋_GBK"/>
          <w:color w:val="auto"/>
          <w:sz w:val="32"/>
          <w:szCs w:val="32"/>
          <w:shd w:val="clear" w:color="auto" w:fill="FFFFFF"/>
        </w:rPr>
        <w:t>%，较年初预算数增加2790.49万元，增长1968.60%，主要原因是</w:t>
      </w:r>
      <w:r>
        <w:rPr>
          <w:rFonts w:hint="eastAsia" w:ascii="方正仿宋_GBK" w:hAnsi="方正仿宋_GBK" w:eastAsia="方正仿宋_GBK" w:cs="方正仿宋_GBK"/>
          <w:color w:val="auto"/>
          <w:sz w:val="32"/>
          <w:szCs w:val="32"/>
          <w:highlight w:val="none"/>
          <w:shd w:val="clear" w:color="auto" w:fill="FFFFFF"/>
          <w:lang w:eastAsia="zh-CN"/>
        </w:rPr>
        <w:t>区财政安排的债券资金</w:t>
      </w:r>
      <w:r>
        <w:rPr>
          <w:rFonts w:hint="eastAsia" w:ascii="方正仿宋_GBK" w:hAnsi="方正仿宋_GBK" w:eastAsia="方正仿宋_GBK" w:cs="方正仿宋_GBK"/>
          <w:color w:val="auto"/>
          <w:sz w:val="32"/>
          <w:szCs w:val="32"/>
          <w:highlight w:val="none"/>
          <w:shd w:val="clear" w:color="auto" w:fill="FFFFFF"/>
          <w:lang w:val="en-US" w:eastAsia="zh-CN"/>
        </w:rPr>
        <w:t>2743.48万元列入了该科目</w:t>
      </w:r>
      <w:r>
        <w:rPr>
          <w:rFonts w:ascii="方正仿宋_GBK" w:hAnsi="方正仿宋_GBK" w:eastAsia="方正仿宋_GBK" w:cs="方正仿宋_GBK"/>
          <w:color w:val="auto"/>
          <w:sz w:val="32"/>
          <w:szCs w:val="32"/>
          <w:shd w:val="clear" w:color="auto" w:fill="FFFFFF"/>
        </w:rPr>
        <w:t>。</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21.69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0.09</w:t>
      </w:r>
      <w:r>
        <w:rPr>
          <w:rFonts w:ascii="方正仿宋_GBK" w:hAnsi="方正仿宋_GBK" w:eastAsia="方正仿宋_GBK" w:cs="方正仿宋_GBK"/>
          <w:color w:val="auto"/>
          <w:sz w:val="32"/>
          <w:szCs w:val="32"/>
          <w:shd w:val="clear" w:color="auto" w:fill="FFFFFF"/>
        </w:rPr>
        <w:t>%，较年初预算数减少1.99万元，下降8.40%，主要原因是</w:t>
      </w:r>
      <w:r>
        <w:rPr>
          <w:rFonts w:hint="eastAsia" w:ascii="方正仿宋_GBK" w:hAnsi="方正仿宋_GBK" w:eastAsia="方正仿宋_GBK" w:cs="方正仿宋_GBK"/>
          <w:color w:val="auto"/>
          <w:sz w:val="32"/>
          <w:szCs w:val="32"/>
          <w:shd w:val="clear" w:color="auto" w:fill="FFFFFF"/>
          <w:lang w:eastAsia="zh-CN"/>
        </w:rPr>
        <w:t>我单位</w:t>
      </w:r>
      <w:r>
        <w:rPr>
          <w:rFonts w:hint="eastAsia" w:ascii="方正仿宋_GBK" w:hAnsi="方正仿宋_GBK" w:eastAsia="方正仿宋_GBK" w:cs="方正仿宋_GBK"/>
          <w:color w:val="auto"/>
          <w:sz w:val="32"/>
          <w:szCs w:val="32"/>
          <w:shd w:val="clear" w:color="auto" w:fill="FFFFFF"/>
          <w:lang w:val="en-US" w:eastAsia="zh-CN"/>
        </w:rPr>
        <w:t>2023年2名人员退休后医保缴费减少</w:t>
      </w:r>
      <w:r>
        <w:rPr>
          <w:rFonts w:ascii="方正仿宋_GBK" w:hAnsi="方正仿宋_GBK" w:eastAsia="方正仿宋_GBK" w:cs="方正仿宋_GBK"/>
          <w:color w:val="auto"/>
          <w:sz w:val="32"/>
          <w:szCs w:val="32"/>
          <w:shd w:val="clear" w:color="auto" w:fill="FFFFFF"/>
        </w:rPr>
        <w:t>。</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）交通运输支出</w:t>
      </w:r>
      <w:r>
        <w:rPr>
          <w:rFonts w:ascii="方正仿宋_GBK" w:hAnsi="方正仿宋_GBK" w:eastAsia="方正仿宋_GBK" w:cs="方正仿宋_GBK"/>
          <w:color w:val="auto"/>
          <w:sz w:val="32"/>
          <w:szCs w:val="32"/>
        </w:rPr>
        <w:t>17136.62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67.83</w:t>
      </w:r>
      <w:r>
        <w:rPr>
          <w:rFonts w:ascii="方正仿宋_GBK" w:hAnsi="方正仿宋_GBK" w:eastAsia="方正仿宋_GBK" w:cs="方正仿宋_GBK"/>
          <w:color w:val="auto"/>
          <w:sz w:val="32"/>
          <w:szCs w:val="32"/>
          <w:shd w:val="clear" w:color="auto" w:fill="FFFFFF"/>
        </w:rPr>
        <w:t>%，较年初预算数减少11552.77万元，下降40.27%，主要原因是</w:t>
      </w:r>
      <w:r>
        <w:rPr>
          <w:rFonts w:hint="eastAsia" w:ascii="方正仿宋_GBK" w:hAnsi="方正仿宋_GBK" w:eastAsia="方正仿宋_GBK" w:cs="方正仿宋_GBK"/>
          <w:color w:val="auto"/>
          <w:sz w:val="32"/>
          <w:szCs w:val="32"/>
          <w:highlight w:val="none"/>
          <w:shd w:val="clear" w:color="auto" w:fill="FFFFFF"/>
          <w:lang w:val="en-US" w:eastAsia="zh-CN"/>
        </w:rPr>
        <w:t>2022年区财政安排了27000万元债券资金，因此本年收支有所下降</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 xml:space="preserve">    </w:t>
      </w:r>
    </w:p>
    <w:p>
      <w:pPr>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住房保障支出345.67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1.37</w:t>
      </w:r>
      <w:r>
        <w:rPr>
          <w:rFonts w:ascii="方正仿宋_GBK" w:hAnsi="方正仿宋_GBK" w:eastAsia="方正仿宋_GBK" w:cs="方正仿宋_GBK"/>
          <w:color w:val="auto"/>
          <w:sz w:val="32"/>
          <w:szCs w:val="32"/>
          <w:shd w:val="clear" w:color="auto" w:fill="FFFFFF"/>
        </w:rPr>
        <w:t>%，较年初预算数增加309.36万元，增长852.00%，主要原因是</w:t>
      </w:r>
      <w:r>
        <w:rPr>
          <w:rFonts w:hint="eastAsia" w:ascii="方正仿宋_GBK" w:hAnsi="方正仿宋_GBK" w:eastAsia="方正仿宋_GBK" w:cs="方正仿宋_GBK"/>
          <w:color w:val="auto"/>
          <w:sz w:val="32"/>
          <w:szCs w:val="32"/>
          <w:highlight w:val="none"/>
          <w:shd w:val="clear" w:color="auto" w:fill="FFFFFF"/>
          <w:lang w:eastAsia="zh-CN"/>
        </w:rPr>
        <w:t>公务员公积金缴费基数调整，导致缴费增加</w:t>
      </w:r>
      <w:r>
        <w:rPr>
          <w:rFonts w:ascii="方正仿宋_GBK" w:hAnsi="方正仿宋_GBK" w:eastAsia="方正仿宋_GBK" w:cs="方正仿宋_GBK"/>
          <w:color w:val="auto"/>
          <w:sz w:val="32"/>
          <w:szCs w:val="32"/>
          <w:highlight w:val="none"/>
          <w:shd w:val="clear" w:color="auto" w:fill="FFFFFF"/>
        </w:rPr>
        <w:t>。</w:t>
      </w:r>
    </w:p>
    <w:p>
      <w:pPr>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其他支出4826.00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19.10</w:t>
      </w:r>
      <w:r>
        <w:rPr>
          <w:rFonts w:ascii="方正仿宋_GBK" w:hAnsi="方正仿宋_GBK" w:eastAsia="方正仿宋_GBK" w:cs="方正仿宋_GBK"/>
          <w:color w:val="auto"/>
          <w:sz w:val="32"/>
          <w:szCs w:val="32"/>
          <w:shd w:val="clear" w:color="auto" w:fill="FFFFFF"/>
        </w:rPr>
        <w:t>%，较年初预算数增加4826.00万元，增长100.00%，主要原因是</w:t>
      </w:r>
      <w:r>
        <w:rPr>
          <w:rFonts w:hint="eastAsia" w:ascii="方正仿宋_GBK" w:hAnsi="方正仿宋_GBK" w:eastAsia="方正仿宋_GBK" w:cs="方正仿宋_GBK"/>
          <w:color w:val="auto"/>
          <w:sz w:val="32"/>
          <w:szCs w:val="32"/>
          <w:highlight w:val="none"/>
          <w:shd w:val="clear" w:color="auto" w:fill="FFFFFF"/>
          <w:lang w:val="en-US" w:eastAsia="zh-CN"/>
        </w:rPr>
        <w:t>2023年我单位安排了重点地区转型发展专项（资源型地区转型发展方向）中央基建投资4826万元。</w:t>
      </w:r>
    </w:p>
    <w:p>
      <w:pPr>
        <w:pStyle w:val="8"/>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2023年度一般公共财政拨款基本支出</w:t>
      </w:r>
      <w:r>
        <w:rPr>
          <w:rFonts w:ascii="方正仿宋_GBK" w:hAnsi="方正仿宋_GBK" w:eastAsia="方正仿宋_GBK" w:cs="方正仿宋_GBK"/>
          <w:color w:val="auto"/>
          <w:sz w:val="32"/>
          <w:szCs w:val="32"/>
        </w:rPr>
        <w:t>589.99</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510.15</w:t>
      </w:r>
      <w:r>
        <w:rPr>
          <w:rFonts w:ascii="方正仿宋_GBK" w:hAnsi="方正仿宋_GBK" w:eastAsia="方正仿宋_GBK" w:cs="方正仿宋_GBK"/>
          <w:color w:val="auto"/>
          <w:sz w:val="32"/>
          <w:szCs w:val="32"/>
          <w:shd w:val="clear" w:color="auto" w:fill="FFFFFF"/>
        </w:rPr>
        <w:t>万元，较上年决算数减少60.41万元，下降10.59%，主要原因是</w:t>
      </w:r>
      <w:r>
        <w:rPr>
          <w:rFonts w:hint="eastAsia" w:ascii="方正仿宋_GBK" w:hAnsi="方正仿宋_GBK" w:eastAsia="方正仿宋_GBK" w:cs="方正仿宋_GBK"/>
          <w:color w:val="auto"/>
          <w:sz w:val="32"/>
          <w:szCs w:val="32"/>
          <w:shd w:val="clear" w:color="auto" w:fill="FFFFFF"/>
          <w:lang w:val="en-US" w:eastAsia="zh-CN"/>
        </w:rPr>
        <w:t>2023年我单位当年退休人员较多</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基本工资、津补贴、基础绩效等</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79.84</w:t>
      </w:r>
      <w:r>
        <w:rPr>
          <w:rFonts w:ascii="方正仿宋_GBK" w:hAnsi="方正仿宋_GBK" w:eastAsia="方正仿宋_GBK" w:cs="方正仿宋_GBK"/>
          <w:color w:val="auto"/>
          <w:sz w:val="32"/>
          <w:szCs w:val="32"/>
          <w:shd w:val="clear" w:color="auto" w:fill="FFFFFF"/>
        </w:rPr>
        <w:t>万元，较上年决算数减少9.35万元，下降10.48%，主要原因是</w:t>
      </w:r>
      <w:r>
        <w:rPr>
          <w:rFonts w:hint="eastAsia" w:ascii="方正仿宋_GBK" w:hAnsi="方正仿宋_GBK" w:eastAsia="方正仿宋_GBK" w:cs="方正仿宋_GBK"/>
          <w:color w:val="auto"/>
          <w:sz w:val="32"/>
          <w:szCs w:val="32"/>
          <w:shd w:val="clear" w:color="auto" w:fill="FFFFFF"/>
          <w:lang w:eastAsia="zh-CN"/>
        </w:rPr>
        <w:t>厉行节约、严控费用支出，</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eastAsia="zh-CN"/>
        </w:rPr>
        <w:t>办公费、水电费等</w:t>
      </w:r>
      <w:r>
        <w:rPr>
          <w:rFonts w:ascii="方正仿宋_GBK" w:hAnsi="方正仿宋_GBK" w:eastAsia="方正仿宋_GBK" w:cs="方正仿宋_GBK"/>
          <w:color w:val="auto"/>
          <w:sz w:val="32"/>
          <w:szCs w:val="32"/>
          <w:shd w:val="clear" w:color="auto" w:fill="FFFFFF"/>
        </w:rPr>
        <w:t>。</w:t>
      </w:r>
    </w:p>
    <w:p>
      <w:pPr>
        <w:pStyle w:val="8"/>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2023年度政府性基金预算财政拨款年初结转结余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万元，年末结转结余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万元。本年收入</w:t>
      </w:r>
      <w:r>
        <w:rPr>
          <w:rFonts w:ascii="方正仿宋_GBK" w:hAnsi="方正仿宋_GBK" w:eastAsia="方正仿宋_GBK" w:cs="方正仿宋_GBK"/>
          <w:color w:val="auto"/>
          <w:sz w:val="32"/>
          <w:szCs w:val="32"/>
        </w:rPr>
        <w:t>2500.00</w:t>
      </w:r>
      <w:r>
        <w:rPr>
          <w:rFonts w:ascii="方正仿宋_GBK" w:hAnsi="方正仿宋_GBK" w:eastAsia="方正仿宋_GBK" w:cs="方正仿宋_GBK"/>
          <w:color w:val="auto"/>
          <w:sz w:val="32"/>
          <w:szCs w:val="32"/>
          <w:shd w:val="clear" w:color="auto" w:fill="FFFFFF"/>
        </w:rPr>
        <w:t>万元，较上年决算数减少28164.60万元，下降91.85%，主要原因是</w:t>
      </w:r>
      <w:r>
        <w:rPr>
          <w:rFonts w:hint="eastAsia" w:ascii="方正仿宋_GBK" w:hAnsi="方正仿宋_GBK" w:eastAsia="方正仿宋_GBK" w:cs="方正仿宋_GBK"/>
          <w:color w:val="auto"/>
          <w:sz w:val="32"/>
          <w:szCs w:val="32"/>
          <w:highlight w:val="none"/>
          <w:shd w:val="clear" w:color="auto" w:fill="FFFFFF"/>
          <w:lang w:val="en-US" w:eastAsia="zh-CN"/>
        </w:rPr>
        <w:t>2022年区财政安排了27000万元债券资金，因此本年收支有所下降</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 本年支出</w:t>
      </w:r>
      <w:r>
        <w:rPr>
          <w:rFonts w:ascii="方正仿宋_GBK" w:hAnsi="方正仿宋_GBK" w:eastAsia="方正仿宋_GBK" w:cs="方正仿宋_GBK"/>
          <w:color w:val="auto"/>
          <w:sz w:val="32"/>
          <w:szCs w:val="32"/>
        </w:rPr>
        <w:t>2500.00</w:t>
      </w:r>
      <w:r>
        <w:rPr>
          <w:rFonts w:ascii="方正仿宋_GBK" w:hAnsi="方正仿宋_GBK" w:eastAsia="方正仿宋_GBK" w:cs="方正仿宋_GBK"/>
          <w:color w:val="auto"/>
          <w:sz w:val="32"/>
          <w:szCs w:val="32"/>
          <w:shd w:val="clear" w:color="auto" w:fill="FFFFFF"/>
        </w:rPr>
        <w:t>万元，较上年决算数减少28472.60万元，下降91.93%，主要原因是</w:t>
      </w:r>
      <w:r>
        <w:rPr>
          <w:rFonts w:hint="eastAsia" w:ascii="方正仿宋_GBK" w:hAnsi="方正仿宋_GBK" w:eastAsia="方正仿宋_GBK" w:cs="方正仿宋_GBK"/>
          <w:color w:val="auto"/>
          <w:sz w:val="32"/>
          <w:szCs w:val="32"/>
          <w:highlight w:val="none"/>
          <w:shd w:val="clear" w:color="auto" w:fill="FFFFFF"/>
          <w:lang w:val="en-US" w:eastAsia="zh-CN"/>
        </w:rPr>
        <w:t>2022年区财政安排了27000万元债券资金，因此本年收支有所下降</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 </w:t>
      </w:r>
    </w:p>
    <w:p>
      <w:pPr>
        <w:pStyle w:val="8"/>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本单位2023年度无国有资本经营预算财政拨款支出。</w:t>
      </w:r>
    </w:p>
    <w:p>
      <w:pPr>
        <w:pStyle w:val="4"/>
        <w:shd w:val="clear" w:color="auto" w:fill="FFFFFF"/>
        <w:rPr>
          <w:rStyle w:val="6"/>
          <w:rFonts w:hint="default" w:ascii="黑体" w:hAnsi="黑体" w:eastAsia="黑体" w:cs="黑体"/>
          <w:color w:val="auto"/>
          <w:sz w:val="32"/>
          <w:szCs w:val="32"/>
          <w:shd w:val="clear" w:color="auto" w:fill="FFFFFF"/>
        </w:rPr>
      </w:pPr>
      <w:r>
        <w:rPr>
          <w:rStyle w:val="6"/>
          <w:rFonts w:ascii="黑体" w:hAnsi="黑体" w:eastAsia="黑体" w:cs="黑体"/>
          <w:color w:val="auto"/>
          <w:sz w:val="32"/>
          <w:szCs w:val="32"/>
          <w:shd w:val="clear" w:color="auto" w:fill="FFFFFF"/>
        </w:rPr>
        <w:t>三、“三公”经费情况说明</w:t>
      </w:r>
    </w:p>
    <w:p>
      <w:pPr>
        <w:pStyle w:val="8"/>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（一）“三公”经费支出总体情况说明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2023年度“三公”经费支出共计</w:t>
      </w:r>
      <w:r>
        <w:rPr>
          <w:rFonts w:ascii="方正仿宋_GBK" w:hAnsi="方正仿宋_GBK" w:eastAsia="方正仿宋_GBK" w:cs="方正仿宋_GBK"/>
          <w:color w:val="auto"/>
          <w:sz w:val="32"/>
          <w:szCs w:val="32"/>
        </w:rPr>
        <w:t>3.95</w:t>
      </w:r>
      <w:r>
        <w:rPr>
          <w:rFonts w:ascii="方正仿宋_GBK" w:hAnsi="方正仿宋_GBK" w:eastAsia="方正仿宋_GBK" w:cs="方正仿宋_GBK"/>
          <w:color w:val="auto"/>
          <w:sz w:val="32"/>
          <w:szCs w:val="32"/>
          <w:shd w:val="clear" w:color="auto" w:fill="FFFFFF"/>
        </w:rPr>
        <w:t>万元，较年初预算数无增减，主要原因是</w:t>
      </w:r>
      <w:r>
        <w:rPr>
          <w:rFonts w:hint="eastAsia" w:ascii="方正仿宋_GBK" w:hAnsi="方正仿宋_GBK" w:eastAsia="方正仿宋_GBK" w:cs="方正仿宋_GBK"/>
          <w:color w:val="auto"/>
          <w:sz w:val="32"/>
          <w:szCs w:val="32"/>
          <w:shd w:val="clear" w:color="auto" w:fill="FFFFFF"/>
          <w:lang w:eastAsia="zh-CN"/>
        </w:rPr>
        <w:t>我单位根据预算进行开支</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较上年支出数增加3.36万元，增长569.49%，主要原因是</w:t>
      </w:r>
      <w:r>
        <w:rPr>
          <w:rFonts w:hint="eastAsia" w:ascii="方正仿宋_GBK" w:hAnsi="方正仿宋_GBK" w:eastAsia="方正仿宋_GBK" w:cs="方正仿宋_GBK"/>
          <w:color w:val="auto"/>
          <w:sz w:val="32"/>
          <w:szCs w:val="32"/>
          <w:shd w:val="clear" w:color="auto" w:fill="FFFFFF"/>
          <w:lang w:val="en-US" w:eastAsia="zh-CN"/>
        </w:rPr>
        <w:t>2022年由于支付更正时调整错误导致当年的数据有误</w:t>
      </w:r>
      <w:r>
        <w:rPr>
          <w:rFonts w:ascii="方正仿宋_GBK" w:hAnsi="方正仿宋_GBK" w:eastAsia="方正仿宋_GBK" w:cs="方正仿宋_GBK"/>
          <w:color w:val="auto"/>
          <w:sz w:val="32"/>
          <w:szCs w:val="32"/>
          <w:shd w:val="clear" w:color="auto" w:fill="FFFFFF"/>
        </w:rPr>
        <w:t>。</w:t>
      </w:r>
    </w:p>
    <w:p>
      <w:pPr>
        <w:pStyle w:val="8"/>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2023年度本单位因公出国（境）费用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费用支出较年初预算数无增减</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万元。费用支出较年初预算数无增减。较上年支出数无增减。</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3.50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公务车加油、维修、</w:t>
      </w:r>
      <w:r>
        <w:rPr>
          <w:rFonts w:hint="eastAsia" w:ascii="方正仿宋_GBK" w:hAnsi="方正仿宋_GBK" w:eastAsia="方正仿宋_GBK" w:cs="方正仿宋_GBK"/>
          <w:color w:val="auto"/>
          <w:sz w:val="32"/>
          <w:szCs w:val="32"/>
          <w:shd w:val="clear" w:color="auto" w:fill="FFFFFF"/>
          <w:lang w:val="en-US" w:eastAsia="zh-CN"/>
        </w:rPr>
        <w:t>ETC通行费等，</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我单位根据预算严控支出</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较上年支出数增加2.91万元，增长493.22%，主要原因是</w:t>
      </w:r>
      <w:r>
        <w:rPr>
          <w:rFonts w:hint="eastAsia" w:ascii="方正仿宋_GBK" w:hAnsi="方正仿宋_GBK" w:eastAsia="方正仿宋_GBK" w:cs="方正仿宋_GBK"/>
          <w:color w:val="auto"/>
          <w:sz w:val="32"/>
          <w:szCs w:val="32"/>
          <w:shd w:val="clear" w:color="auto" w:fill="FFFFFF"/>
          <w:lang w:val="en-US" w:eastAsia="zh-CN"/>
        </w:rPr>
        <w:t>2022年由于支付更正时调整错误导致当年的数据有误</w:t>
      </w:r>
      <w:r>
        <w:rPr>
          <w:rFonts w:ascii="方正仿宋_GBK" w:hAnsi="方正仿宋_GBK" w:eastAsia="方正仿宋_GBK" w:cs="方正仿宋_GBK"/>
          <w:color w:val="auto"/>
          <w:sz w:val="32"/>
          <w:szCs w:val="32"/>
          <w:shd w:val="clear" w:color="auto" w:fill="FFFFFF"/>
        </w:rPr>
        <w:t>。</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0.45</w:t>
      </w:r>
      <w:r>
        <w:rPr>
          <w:rFonts w:ascii="方正仿宋_GBK" w:hAnsi="方正仿宋_GBK" w:eastAsia="方正仿宋_GBK" w:cs="方正仿宋_GBK"/>
          <w:color w:val="auto"/>
          <w:sz w:val="32"/>
          <w:szCs w:val="32"/>
          <w:shd w:val="clear" w:color="auto" w:fill="FFFFFF"/>
        </w:rPr>
        <w:t>万元，主要用于接待</w:t>
      </w:r>
      <w:r>
        <w:rPr>
          <w:rFonts w:hint="eastAsia" w:ascii="方正仿宋_GBK" w:hAnsi="方正仿宋_GBK" w:eastAsia="方正仿宋_GBK" w:cs="方正仿宋_GBK"/>
          <w:color w:val="auto"/>
          <w:sz w:val="32"/>
          <w:szCs w:val="32"/>
          <w:highlight w:val="none"/>
          <w:shd w:val="clear" w:color="auto" w:fill="FFFFFF"/>
          <w:lang w:eastAsia="zh-CN"/>
        </w:rPr>
        <w:t>各类检查、交流学习等工作人员</w:t>
      </w:r>
      <w:r>
        <w:rPr>
          <w:rFonts w:ascii="方正仿宋_GBK" w:hAnsi="方正仿宋_GBK" w:eastAsia="方正仿宋_GBK" w:cs="方正仿宋_GBK"/>
          <w:color w:val="auto"/>
          <w:sz w:val="32"/>
          <w:szCs w:val="32"/>
          <w:shd w:val="clear" w:color="auto" w:fill="FFFFFF"/>
        </w:rPr>
        <w:t>费用支出</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shd w:val="clear" w:color="auto" w:fill="FFFFFF"/>
          <w:lang w:eastAsia="zh-CN"/>
        </w:rPr>
        <w:t>我单位根据预算严控支出</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较上年支出数增加0.45万元，增长100.00%，主要原因是</w:t>
      </w:r>
      <w:r>
        <w:rPr>
          <w:rFonts w:hint="eastAsia" w:ascii="方正仿宋_GBK" w:hAnsi="方正仿宋_GBK" w:eastAsia="方正仿宋_GBK" w:cs="方正仿宋_GBK"/>
          <w:color w:val="auto"/>
          <w:sz w:val="32"/>
          <w:szCs w:val="32"/>
          <w:shd w:val="clear" w:color="auto" w:fill="FFFFFF"/>
          <w:lang w:val="en-US" w:eastAsia="zh-CN"/>
        </w:rPr>
        <w:t>2022年我单位未发生接待费用支出。</w:t>
      </w:r>
    </w:p>
    <w:p>
      <w:pPr>
        <w:pStyle w:val="8"/>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2023年度本单位因公出国（境）共计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6</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45</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人。2023年本单位人均接待费</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3.50</w:t>
      </w:r>
      <w:r>
        <w:rPr>
          <w:rFonts w:ascii="方正仿宋_GBK" w:hAnsi="方正仿宋_GBK" w:eastAsia="方正仿宋_GBK" w:cs="方正仿宋_GBK"/>
          <w:color w:val="auto"/>
          <w:sz w:val="32"/>
          <w:szCs w:val="32"/>
          <w:shd w:val="clear" w:color="auto" w:fill="FFFFFF"/>
        </w:rPr>
        <w:t>万元。</w:t>
      </w:r>
    </w:p>
    <w:p>
      <w:pPr>
        <w:pStyle w:val="4"/>
        <w:shd w:val="clear" w:color="auto" w:fill="FFFFFF"/>
        <w:rPr>
          <w:rStyle w:val="6"/>
          <w:rFonts w:hint="default" w:ascii="方正仿宋_GBK" w:hAnsi="方正仿宋_GBK" w:eastAsia="方正仿宋_GBK" w:cs="方正仿宋_GBK"/>
          <w:color w:val="auto"/>
          <w:sz w:val="32"/>
          <w:szCs w:val="32"/>
          <w:shd w:val="clear" w:color="auto" w:fill="FFFFFF"/>
        </w:rPr>
      </w:pPr>
      <w:r>
        <w:rPr>
          <w:rStyle w:val="6"/>
          <w:rFonts w:ascii="黑体" w:hAnsi="黑体" w:eastAsia="黑体" w:cs="黑体"/>
          <w:color w:val="auto"/>
          <w:sz w:val="32"/>
          <w:szCs w:val="32"/>
          <w:shd w:val="clear" w:color="auto" w:fill="FFFFFF"/>
        </w:rPr>
        <w:t>四、其他需要说明的事项</w:t>
      </w:r>
    </w:p>
    <w:p>
      <w:pPr>
        <w:pStyle w:val="8"/>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（一）财政拨款会议费和培训费情况说明</w:t>
      </w:r>
    </w:p>
    <w:p>
      <w:pPr>
        <w:pStyle w:val="4"/>
        <w:snapToGrid w:val="0"/>
        <w:spacing w:before="0" w:beforeAutospacing="0" w:after="0" w:afterAutospacing="0" w:line="600" w:lineRule="exact"/>
        <w:ind w:firstLine="640" w:firstLineChars="200"/>
        <w:jc w:val="both"/>
        <w:rPr>
          <w:rFonts w:hint="eastAsia" w:ascii="楷体" w:hAnsi="楷体" w:eastAsia="楷体" w:cs="楷体"/>
          <w:b/>
          <w:bCs/>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本年度会议费支出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万元，较上年决算数无增减。本年度培训费支出</w:t>
      </w:r>
      <w:r>
        <w:rPr>
          <w:rFonts w:ascii="方正仿宋_GBK" w:hAnsi="方正仿宋_GBK" w:eastAsia="方正仿宋_GBK" w:cs="方正仿宋_GBK"/>
          <w:color w:val="auto"/>
          <w:sz w:val="32"/>
          <w:szCs w:val="32"/>
        </w:rPr>
        <w:t>2.26</w:t>
      </w:r>
      <w:r>
        <w:rPr>
          <w:rFonts w:ascii="方正仿宋_GBK" w:hAnsi="方正仿宋_GBK" w:eastAsia="方正仿宋_GBK" w:cs="方正仿宋_GBK"/>
          <w:color w:val="auto"/>
          <w:sz w:val="32"/>
          <w:szCs w:val="32"/>
          <w:shd w:val="clear" w:color="auto" w:fill="FFFFFF"/>
        </w:rPr>
        <w:t>万元，较上年决算数减少1.02万元，下降31.10%，主要原因是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2023年开展培训较2022年减少。</w:t>
      </w:r>
    </w:p>
    <w:p>
      <w:pPr>
        <w:pStyle w:val="8"/>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2023年度本单位机关运行经费支出</w:t>
      </w:r>
      <w:r>
        <w:rPr>
          <w:rFonts w:ascii="方正仿宋_GBK" w:hAnsi="方正仿宋_GBK" w:eastAsia="方正仿宋_GBK" w:cs="方正仿宋_GBK"/>
          <w:color w:val="auto"/>
          <w:sz w:val="32"/>
          <w:szCs w:val="32"/>
        </w:rPr>
        <w:t>79.84</w:t>
      </w:r>
      <w:r>
        <w:rPr>
          <w:rFonts w:ascii="方正仿宋_GBK" w:hAnsi="方正仿宋_GBK" w:eastAsia="方正仿宋_GBK" w:cs="方正仿宋_GBK"/>
          <w:color w:val="auto"/>
          <w:sz w:val="32"/>
          <w:szCs w:val="32"/>
          <w:shd w:val="clear" w:color="auto" w:fill="FFFFFF"/>
        </w:rPr>
        <w:t>万元，机关运行经费主要用于开支</w:t>
      </w:r>
      <w:r>
        <w:rPr>
          <w:rFonts w:hint="eastAsia" w:ascii="方正仿宋_GBK" w:hAnsi="方正仿宋_GBK" w:eastAsia="方正仿宋_GBK" w:cs="方正仿宋_GBK"/>
          <w:color w:val="auto"/>
          <w:sz w:val="32"/>
          <w:szCs w:val="32"/>
          <w:shd w:val="clear" w:color="auto" w:fill="FFFFFF"/>
          <w:lang w:eastAsia="zh-CN"/>
        </w:rPr>
        <w:t>办公费、水电费、手续费等</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机关运行经费较上年支出数减少9.35万元，下降10.48%，主要原因是</w:t>
      </w:r>
      <w:r>
        <w:rPr>
          <w:rFonts w:hint="eastAsia" w:ascii="方正仿宋_GBK" w:hAnsi="方正仿宋_GBK" w:eastAsia="方正仿宋_GBK" w:cs="方正仿宋_GBK"/>
          <w:color w:val="auto"/>
          <w:sz w:val="32"/>
          <w:szCs w:val="32"/>
          <w:shd w:val="clear" w:color="auto" w:fill="FFFFFF"/>
          <w:lang w:eastAsia="zh-CN"/>
        </w:rPr>
        <w:t>本单位厉行节约，严控支出</w:t>
      </w:r>
      <w:r>
        <w:rPr>
          <w:rFonts w:ascii="方正仿宋_GBK" w:hAnsi="方正仿宋_GBK" w:eastAsia="方正仿宋_GBK" w:cs="方正仿宋_GBK"/>
          <w:color w:val="auto"/>
          <w:sz w:val="32"/>
          <w:szCs w:val="32"/>
          <w:shd w:val="clear" w:color="auto" w:fill="FFFFFF"/>
        </w:rPr>
        <w:t>。</w:t>
      </w:r>
    </w:p>
    <w:p>
      <w:pPr>
        <w:pStyle w:val="8"/>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截至2023年12月31日，本单位共有车辆</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pPr>
        <w:pStyle w:val="8"/>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4"/>
        <w:snapToGrid w:val="0"/>
        <w:spacing w:before="0" w:beforeAutospacing="0" w:after="0" w:afterAutospacing="0" w:line="600" w:lineRule="exact"/>
        <w:ind w:firstLine="1280" w:firstLineChars="4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  2023年度本单位政府采购支出总额</w:t>
      </w:r>
      <w:r>
        <w:rPr>
          <w:rFonts w:ascii="方正仿宋_GBK" w:hAnsi="方正仿宋_GBK" w:eastAsia="方正仿宋_GBK" w:cs="方正仿宋_GBK"/>
          <w:color w:val="auto"/>
          <w:sz w:val="32"/>
          <w:szCs w:val="32"/>
        </w:rPr>
        <w:t>17681.86</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66.97</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17471.28</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143.60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17681.86万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17615.06</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99.62</w:t>
      </w:r>
      <w:r>
        <w:rPr>
          <w:rFonts w:ascii="方正仿宋_GBK" w:hAnsi="方正仿宋_GBK" w:eastAsia="方正仿宋_GBK" w:cs="方正仿宋_GBK"/>
          <w:color w:val="auto"/>
          <w:sz w:val="32"/>
          <w:szCs w:val="32"/>
          <w:shd w:val="clear" w:color="auto" w:fill="FFFFFF"/>
        </w:rPr>
        <w:t xml:space="preserve"> %。主要用于采购</w:t>
      </w:r>
      <w:r>
        <w:rPr>
          <w:rFonts w:hint="eastAsia" w:ascii="方正仿宋_GBK" w:hAnsi="方正仿宋_GBK" w:eastAsia="方正仿宋_GBK" w:cs="方正仿宋_GBK"/>
          <w:color w:val="auto"/>
          <w:sz w:val="32"/>
          <w:szCs w:val="32"/>
          <w:shd w:val="clear" w:color="auto" w:fill="FFFFFF"/>
          <w:lang w:eastAsia="zh-CN"/>
        </w:rPr>
        <w:t>工程建设服务。</w:t>
      </w:r>
    </w:p>
    <w:p>
      <w:pPr>
        <w:pStyle w:val="4"/>
        <w:numPr>
          <w:ilvl w:val="0"/>
          <w:numId w:val="1"/>
        </w:numPr>
        <w:shd w:val="clear" w:color="auto" w:fill="FFFFFF"/>
        <w:rPr>
          <w:rStyle w:val="6"/>
          <w:rFonts w:hint="default" w:ascii="黑体" w:hAnsi="黑体" w:eastAsia="黑体" w:cs="黑体"/>
          <w:color w:val="auto"/>
          <w:sz w:val="32"/>
          <w:szCs w:val="32"/>
          <w:shd w:val="clear" w:color="auto" w:fill="FFFFFF"/>
        </w:rPr>
      </w:pPr>
      <w:r>
        <w:rPr>
          <w:rStyle w:val="6"/>
          <w:rFonts w:ascii="黑体" w:hAnsi="黑体" w:eastAsia="黑体" w:cs="黑体"/>
          <w:color w:val="auto"/>
          <w:sz w:val="32"/>
          <w:szCs w:val="32"/>
          <w:shd w:val="clear" w:color="auto" w:fill="FFFFFF"/>
        </w:rPr>
        <w:t>预算绩效管理情况说明</w:t>
      </w:r>
    </w:p>
    <w:p>
      <w:pPr>
        <w:pStyle w:val="8"/>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（一）单位自评情况</w:t>
      </w:r>
    </w:p>
    <w:p>
      <w:pPr>
        <w:pStyle w:val="9"/>
        <w:autoSpaceDE w:val="0"/>
        <w:spacing w:before="0" w:beforeAutospacing="0" w:line="600" w:lineRule="exact"/>
        <w:ind w:firstLine="640" w:firstLineChars="200"/>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根据预算绩效管理要求，我单位对</w:t>
      </w:r>
      <w:r>
        <w:rPr>
          <w:rFonts w:hint="eastAsia" w:ascii="方正仿宋_GBK" w:hAnsi="方正仿宋_GBK" w:eastAsia="方正仿宋_GBK" w:cs="方正仿宋_GBK"/>
          <w:color w:val="auto"/>
          <w:sz w:val="32"/>
          <w:szCs w:val="32"/>
          <w:shd w:val="clear" w:color="auto" w:fill="FFFFFF"/>
          <w:lang w:val="en-US" w:eastAsia="zh-CN"/>
        </w:rPr>
        <w:t>31</w:t>
      </w:r>
      <w:r>
        <w:rPr>
          <w:rFonts w:hint="eastAsia" w:ascii="方正仿宋_GBK" w:hAnsi="方正仿宋_GBK" w:eastAsia="方正仿宋_GBK" w:cs="方正仿宋_GBK"/>
          <w:color w:val="auto"/>
          <w:sz w:val="32"/>
          <w:szCs w:val="32"/>
          <w:shd w:val="clear" w:color="auto" w:fill="FFFFFF"/>
        </w:rPr>
        <w:t>个二级项目开展了绩效自评，涉及财政拨款项目支出资金</w:t>
      </w:r>
      <w:r>
        <w:rPr>
          <w:rFonts w:hint="eastAsia" w:ascii="方正仿宋_GBK" w:hAnsi="方正仿宋_GBK" w:eastAsia="方正仿宋_GBK" w:cs="方正仿宋_GBK"/>
          <w:color w:val="auto"/>
          <w:sz w:val="32"/>
          <w:szCs w:val="32"/>
          <w:shd w:val="clear" w:color="auto" w:fill="FFFFFF"/>
          <w:lang w:val="en-US" w:eastAsia="zh-CN"/>
        </w:rPr>
        <w:t>27173.22</w:t>
      </w:r>
      <w:r>
        <w:rPr>
          <w:rFonts w:hint="eastAsia"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w:t>
      </w:r>
    </w:p>
    <w:tbl>
      <w:tblPr>
        <w:tblStyle w:val="7"/>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87"/>
        <w:gridCol w:w="1986"/>
        <w:gridCol w:w="1460"/>
        <w:gridCol w:w="2005"/>
        <w:gridCol w:w="1290"/>
        <w:gridCol w:w="1292"/>
        <w:gridCol w:w="877"/>
        <w:gridCol w:w="888"/>
        <w:gridCol w:w="866"/>
        <w:gridCol w:w="876"/>
        <w:gridCol w:w="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13"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kern w:val="0"/>
                <w:sz w:val="40"/>
                <w:szCs w:val="40"/>
                <w:u w:val="none"/>
                <w:lang w:val="en-US" w:eastAsia="zh-CN" w:bidi="ar"/>
              </w:rPr>
              <w:t>2023年度二级项目绩效自评表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项目名称：</w:t>
            </w: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松藻花坝大桥连接线工程</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项目编码：</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50011023T000002964186</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自评总分：</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auto"/>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项目主管部门：</w:t>
            </w: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216-重庆市綦江区交通运输委员会</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财政归口处室：</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008-经济建设科</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部门联系人：</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周玉成</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联系电话：</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85886008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3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年初预算数</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全年（调整）预算数</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全年执行数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执行率权重</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8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年度总金额</w:t>
            </w:r>
          </w:p>
        </w:tc>
        <w:tc>
          <w:tcPr>
            <w:tcW w:w="1986"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c>
          <w:tcPr>
            <w:tcW w:w="146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auto"/>
                <w:sz w:val="22"/>
                <w:szCs w:val="22"/>
                <w:u w:val="none"/>
              </w:rPr>
            </w:pPr>
          </w:p>
        </w:tc>
        <w:tc>
          <w:tcPr>
            <w:tcW w:w="200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5</w:t>
            </w:r>
            <w:r>
              <w:rPr>
                <w:rFonts w:hint="eastAsia" w:cs="宋体"/>
                <w:i w:val="0"/>
                <w:color w:val="auto"/>
                <w:kern w:val="0"/>
                <w:sz w:val="22"/>
                <w:szCs w:val="22"/>
                <w:u w:val="none"/>
                <w:lang w:val="en-US" w:eastAsia="zh-CN" w:bidi="ar"/>
              </w:rPr>
              <w:t>52.00</w:t>
            </w:r>
          </w:p>
        </w:tc>
        <w:tc>
          <w:tcPr>
            <w:tcW w:w="129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auto"/>
                <w:sz w:val="22"/>
                <w:szCs w:val="22"/>
                <w:u w:val="none"/>
              </w:rPr>
            </w:pPr>
          </w:p>
        </w:tc>
        <w:tc>
          <w:tcPr>
            <w:tcW w:w="129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r>
              <w:rPr>
                <w:rFonts w:hint="eastAsia" w:cs="宋体"/>
                <w:i w:val="0"/>
                <w:color w:val="auto"/>
                <w:kern w:val="0"/>
                <w:sz w:val="22"/>
                <w:szCs w:val="22"/>
                <w:u w:val="none"/>
                <w:lang w:val="en-US" w:eastAsia="zh-CN" w:bidi="ar"/>
              </w:rPr>
              <w:t>52.00</w:t>
            </w:r>
            <w:r>
              <w:rPr>
                <w:rFonts w:hint="eastAsia" w:ascii="宋体" w:hAnsi="宋体" w:eastAsia="宋体" w:cs="宋体"/>
                <w:i w:val="0"/>
                <w:color w:val="auto"/>
                <w:kern w:val="0"/>
                <w:sz w:val="22"/>
                <w:szCs w:val="22"/>
                <w:u w:val="none"/>
                <w:lang w:val="en-US" w:eastAsia="zh-CN" w:bidi="ar"/>
              </w:rPr>
              <w:t xml:space="preserve"> </w:t>
            </w:r>
          </w:p>
        </w:tc>
        <w:tc>
          <w:tcPr>
            <w:tcW w:w="87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auto"/>
                <w:sz w:val="22"/>
                <w:szCs w:val="22"/>
                <w:u w:val="none"/>
              </w:rPr>
            </w:pPr>
          </w:p>
        </w:tc>
        <w:tc>
          <w:tcPr>
            <w:tcW w:w="88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r>
              <w:rPr>
                <w:rFonts w:hint="eastAsia" w:cs="宋体"/>
                <w:i w:val="0"/>
                <w:color w:val="auto"/>
                <w:kern w:val="0"/>
                <w:sz w:val="22"/>
                <w:szCs w:val="22"/>
                <w:u w:val="none"/>
                <w:lang w:val="en-US" w:eastAsia="zh-CN" w:bidi="ar"/>
              </w:rPr>
              <w:t>52.00</w:t>
            </w:r>
            <w:r>
              <w:rPr>
                <w:rFonts w:hint="eastAsia" w:ascii="宋体" w:hAnsi="宋体" w:eastAsia="宋体" w:cs="宋体"/>
                <w:i w:val="0"/>
                <w:color w:val="auto"/>
                <w:kern w:val="0"/>
                <w:sz w:val="22"/>
                <w:szCs w:val="22"/>
                <w:u w:val="none"/>
                <w:lang w:val="en-US" w:eastAsia="zh-CN" w:bidi="ar"/>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8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1986"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c>
          <w:tcPr>
            <w:tcW w:w="146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auto"/>
                <w:sz w:val="22"/>
                <w:szCs w:val="22"/>
                <w:u w:val="none"/>
              </w:rPr>
            </w:pPr>
          </w:p>
        </w:tc>
        <w:tc>
          <w:tcPr>
            <w:tcW w:w="200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5</w:t>
            </w:r>
            <w:r>
              <w:rPr>
                <w:rFonts w:hint="eastAsia" w:cs="宋体"/>
                <w:i w:val="0"/>
                <w:color w:val="auto"/>
                <w:kern w:val="0"/>
                <w:sz w:val="22"/>
                <w:szCs w:val="22"/>
                <w:u w:val="none"/>
                <w:lang w:val="en-US" w:eastAsia="zh-CN" w:bidi="ar"/>
              </w:rPr>
              <w:t>52.00</w:t>
            </w:r>
          </w:p>
        </w:tc>
        <w:tc>
          <w:tcPr>
            <w:tcW w:w="129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auto"/>
                <w:sz w:val="22"/>
                <w:szCs w:val="22"/>
                <w:u w:val="none"/>
              </w:rPr>
            </w:pPr>
          </w:p>
        </w:tc>
        <w:tc>
          <w:tcPr>
            <w:tcW w:w="129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cs="宋体"/>
                <w:i w:val="0"/>
                <w:color w:val="auto"/>
                <w:kern w:val="0"/>
                <w:sz w:val="22"/>
                <w:szCs w:val="22"/>
                <w:u w:val="none"/>
                <w:lang w:val="en-US" w:eastAsia="zh-CN" w:bidi="ar"/>
              </w:rPr>
              <w:t>552.00</w:t>
            </w:r>
            <w:r>
              <w:rPr>
                <w:rFonts w:hint="eastAsia" w:ascii="宋体" w:hAnsi="宋体" w:eastAsia="宋体" w:cs="宋体"/>
                <w:i w:val="0"/>
                <w:color w:val="auto"/>
                <w:kern w:val="0"/>
                <w:sz w:val="22"/>
                <w:szCs w:val="22"/>
                <w:u w:val="none"/>
                <w:lang w:val="en-US" w:eastAsia="zh-CN" w:bidi="ar"/>
              </w:rPr>
              <w:t xml:space="preserve"> </w:t>
            </w:r>
          </w:p>
        </w:tc>
        <w:tc>
          <w:tcPr>
            <w:tcW w:w="87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auto"/>
                <w:sz w:val="22"/>
                <w:szCs w:val="22"/>
                <w:u w:val="none"/>
              </w:rPr>
            </w:pPr>
          </w:p>
        </w:tc>
        <w:tc>
          <w:tcPr>
            <w:tcW w:w="88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r>
              <w:rPr>
                <w:rFonts w:hint="eastAsia" w:cs="宋体"/>
                <w:i w:val="0"/>
                <w:color w:val="auto"/>
                <w:kern w:val="0"/>
                <w:sz w:val="22"/>
                <w:szCs w:val="22"/>
                <w:u w:val="none"/>
                <w:lang w:val="en-US" w:eastAsia="zh-CN" w:bidi="ar"/>
              </w:rPr>
              <w:t>52.00</w:t>
            </w:r>
            <w:r>
              <w:rPr>
                <w:rFonts w:hint="eastAsia" w:ascii="宋体" w:hAnsi="宋体" w:eastAsia="宋体" w:cs="宋体"/>
                <w:i w:val="0"/>
                <w:color w:val="auto"/>
                <w:kern w:val="0"/>
                <w:sz w:val="22"/>
                <w:szCs w:val="22"/>
                <w:u w:val="none"/>
                <w:lang w:val="en-US" w:eastAsia="zh-CN" w:bidi="ar"/>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8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一般公共预算</w:t>
            </w:r>
          </w:p>
        </w:tc>
        <w:tc>
          <w:tcPr>
            <w:tcW w:w="1986"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c>
          <w:tcPr>
            <w:tcW w:w="146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auto"/>
                <w:sz w:val="22"/>
                <w:szCs w:val="22"/>
                <w:u w:val="none"/>
              </w:rPr>
            </w:pPr>
          </w:p>
        </w:tc>
        <w:tc>
          <w:tcPr>
            <w:tcW w:w="200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5</w:t>
            </w:r>
            <w:r>
              <w:rPr>
                <w:rFonts w:hint="eastAsia" w:cs="宋体"/>
                <w:i w:val="0"/>
                <w:color w:val="auto"/>
                <w:kern w:val="0"/>
                <w:sz w:val="22"/>
                <w:szCs w:val="22"/>
                <w:u w:val="none"/>
                <w:lang w:val="en-US" w:eastAsia="zh-CN" w:bidi="ar"/>
              </w:rPr>
              <w:t>52.00</w:t>
            </w:r>
          </w:p>
        </w:tc>
        <w:tc>
          <w:tcPr>
            <w:tcW w:w="129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auto"/>
                <w:sz w:val="22"/>
                <w:szCs w:val="22"/>
                <w:u w:val="none"/>
              </w:rPr>
            </w:pPr>
          </w:p>
        </w:tc>
        <w:tc>
          <w:tcPr>
            <w:tcW w:w="129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r>
              <w:rPr>
                <w:rFonts w:hint="eastAsia" w:cs="宋体"/>
                <w:i w:val="0"/>
                <w:color w:val="auto"/>
                <w:kern w:val="0"/>
                <w:sz w:val="22"/>
                <w:szCs w:val="22"/>
                <w:u w:val="none"/>
                <w:lang w:val="en-US" w:eastAsia="zh-CN" w:bidi="ar"/>
              </w:rPr>
              <w:t>52.00</w:t>
            </w:r>
            <w:r>
              <w:rPr>
                <w:rFonts w:hint="eastAsia" w:ascii="宋体" w:hAnsi="宋体" w:eastAsia="宋体" w:cs="宋体"/>
                <w:i w:val="0"/>
                <w:color w:val="auto"/>
                <w:kern w:val="0"/>
                <w:sz w:val="22"/>
                <w:szCs w:val="22"/>
                <w:u w:val="none"/>
                <w:lang w:val="en-US" w:eastAsia="zh-CN" w:bidi="ar"/>
              </w:rPr>
              <w:t xml:space="preserve"> </w:t>
            </w:r>
          </w:p>
        </w:tc>
        <w:tc>
          <w:tcPr>
            <w:tcW w:w="87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auto"/>
                <w:sz w:val="22"/>
                <w:szCs w:val="22"/>
                <w:u w:val="none"/>
              </w:rPr>
            </w:pPr>
          </w:p>
        </w:tc>
        <w:tc>
          <w:tcPr>
            <w:tcW w:w="88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r>
              <w:rPr>
                <w:rFonts w:hint="eastAsia" w:cs="宋体"/>
                <w:i w:val="0"/>
                <w:color w:val="auto"/>
                <w:kern w:val="0"/>
                <w:sz w:val="22"/>
                <w:szCs w:val="22"/>
                <w:u w:val="none"/>
                <w:lang w:val="en-US" w:eastAsia="zh-CN" w:bidi="ar"/>
              </w:rPr>
              <w:t>52</w:t>
            </w:r>
            <w:r>
              <w:rPr>
                <w:rFonts w:hint="eastAsia" w:ascii="宋体" w:hAnsi="宋体" w:eastAsia="宋体" w:cs="宋体"/>
                <w:i w:val="0"/>
                <w:color w:val="auto"/>
                <w:kern w:val="0"/>
                <w:sz w:val="22"/>
                <w:szCs w:val="22"/>
                <w:u w:val="none"/>
                <w:lang w:val="en-US" w:eastAsia="zh-CN" w:bidi="ar"/>
              </w:rPr>
              <w:t xml:space="preserve">.00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4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年初绩效目标</w:t>
            </w:r>
          </w:p>
        </w:tc>
        <w:tc>
          <w:tcPr>
            <w:tcW w:w="43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全年（调整）绩效目标</w:t>
            </w:r>
          </w:p>
        </w:tc>
        <w:tc>
          <w:tcPr>
            <w:tcW w:w="2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1" w:hRule="atLeast"/>
        </w:trPr>
        <w:tc>
          <w:tcPr>
            <w:tcW w:w="743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完成松藻花坝大桥连接线工程建设</w:t>
            </w:r>
          </w:p>
        </w:tc>
        <w:tc>
          <w:tcPr>
            <w:tcW w:w="434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完成松藻花坝大桥连接线工程建设</w:t>
            </w:r>
          </w:p>
        </w:tc>
        <w:tc>
          <w:tcPr>
            <w:tcW w:w="2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完成松藻花坝大桥连接线工程建设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指标名称</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计量单位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指标性质</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全年完成值</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偏离度（%）</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得分系数（%）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指标权重</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指标得分</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是否核心指标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项目合格率</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道路安全水平</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级</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定性</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明显提升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项目持续发挥作用</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投诉率</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全年无投诉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成本控制</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万元</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552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552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auto"/>
                <w:sz w:val="22"/>
                <w:szCs w:val="22"/>
                <w:u w:val="none"/>
              </w:rPr>
            </w:pPr>
          </w:p>
        </w:tc>
      </w:tr>
    </w:tbl>
    <w:p>
      <w:pPr>
        <w:pStyle w:val="9"/>
        <w:autoSpaceDE w:val="0"/>
        <w:spacing w:before="0" w:beforeAutospacing="0" w:line="600" w:lineRule="exact"/>
        <w:ind w:firstLine="640" w:firstLineChars="200"/>
        <w:rPr>
          <w:rFonts w:hint="eastAsia" w:ascii="方正仿宋_GBK" w:hAnsi="方正仿宋_GBK" w:eastAsia="方正仿宋_GBK" w:cs="方正仿宋_GBK"/>
          <w:color w:val="auto"/>
          <w:sz w:val="32"/>
          <w:szCs w:val="32"/>
          <w:shd w:val="clear" w:color="auto" w:fill="FFFFFF"/>
          <w:lang w:eastAsia="zh-CN"/>
        </w:rPr>
      </w:pPr>
    </w:p>
    <w:tbl>
      <w:tblPr>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961"/>
        <w:gridCol w:w="1961"/>
        <w:gridCol w:w="1440"/>
        <w:gridCol w:w="1968"/>
        <w:gridCol w:w="1405"/>
        <w:gridCol w:w="1177"/>
        <w:gridCol w:w="860"/>
        <w:gridCol w:w="851"/>
        <w:gridCol w:w="850"/>
        <w:gridCol w:w="858"/>
        <w:gridCol w:w="1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95" w:hRule="atLeast"/>
        </w:trPr>
        <w:tc>
          <w:tcPr>
            <w:tcW w:w="14445" w:type="dxa"/>
            <w:gridSpan w:val="11"/>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kern w:val="0"/>
                <w:sz w:val="40"/>
                <w:szCs w:val="40"/>
                <w:u w:val="none"/>
                <w:lang w:val="en-US" w:eastAsia="zh-CN" w:bidi="ar"/>
              </w:rPr>
              <w:t>2023年度二级项目绩效自评表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4445" w:type="dxa"/>
            <w:gridSpan w:val="11"/>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b/>
                <w:i w:val="0"/>
                <w:color w:val="auto"/>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项目名称：</w:t>
            </w:r>
          </w:p>
        </w:tc>
        <w:tc>
          <w:tcPr>
            <w:tcW w:w="340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2023年行业安全监管经费</w:t>
            </w:r>
          </w:p>
        </w:tc>
        <w:tc>
          <w:tcPr>
            <w:tcW w:w="19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项目编码：</w:t>
            </w:r>
          </w:p>
        </w:tc>
        <w:tc>
          <w:tcPr>
            <w:tcW w:w="258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50011023T000003400649</w:t>
            </w:r>
          </w:p>
        </w:tc>
        <w:tc>
          <w:tcPr>
            <w:tcW w:w="8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自评总分：</w:t>
            </w:r>
          </w:p>
        </w:tc>
        <w:tc>
          <w:tcPr>
            <w:tcW w:w="170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100.00</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auto"/>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项目主管部门：</w:t>
            </w:r>
          </w:p>
        </w:tc>
        <w:tc>
          <w:tcPr>
            <w:tcW w:w="340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216-重庆市綦江区交通运输委员会</w:t>
            </w:r>
          </w:p>
        </w:tc>
        <w:tc>
          <w:tcPr>
            <w:tcW w:w="19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财政归口处室：</w:t>
            </w:r>
          </w:p>
        </w:tc>
        <w:tc>
          <w:tcPr>
            <w:tcW w:w="258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008-经济建设科</w:t>
            </w:r>
          </w:p>
        </w:tc>
        <w:tc>
          <w:tcPr>
            <w:tcW w:w="8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部门联系人：</w:t>
            </w:r>
          </w:p>
        </w:tc>
        <w:tc>
          <w:tcPr>
            <w:tcW w:w="170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周玉成</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联系电话：</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85886008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922"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auto"/>
                <w:sz w:val="22"/>
                <w:szCs w:val="22"/>
                <w:u w:val="none"/>
              </w:rPr>
            </w:pPr>
          </w:p>
        </w:tc>
        <w:tc>
          <w:tcPr>
            <w:tcW w:w="3408"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年初预算数</w:t>
            </w:r>
          </w:p>
        </w:tc>
        <w:tc>
          <w:tcPr>
            <w:tcW w:w="258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全年（调整）预算数</w:t>
            </w:r>
          </w:p>
        </w:tc>
        <w:tc>
          <w:tcPr>
            <w:tcW w:w="171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全年执行数</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执行率权重</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61"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年度总金额</w:t>
            </w:r>
          </w:p>
        </w:tc>
        <w:tc>
          <w:tcPr>
            <w:tcW w:w="1961" w:type="dxa"/>
            <w:tcBorders>
              <w:top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auto"/>
                <w:sz w:val="22"/>
                <w:szCs w:val="22"/>
                <w:u w:val="none"/>
              </w:rPr>
            </w:pPr>
          </w:p>
        </w:tc>
        <w:tc>
          <w:tcPr>
            <w:tcW w:w="1440"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color w:val="auto"/>
                <w:sz w:val="22"/>
                <w:szCs w:val="22"/>
                <w:u w:val="none"/>
              </w:rPr>
            </w:pPr>
          </w:p>
        </w:tc>
        <w:tc>
          <w:tcPr>
            <w:tcW w:w="196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5</w:t>
            </w:r>
            <w:r>
              <w:rPr>
                <w:rFonts w:hint="eastAsia" w:cs="宋体"/>
                <w:i w:val="0"/>
                <w:color w:val="auto"/>
                <w:kern w:val="0"/>
                <w:sz w:val="22"/>
                <w:szCs w:val="22"/>
                <w:u w:val="none"/>
                <w:lang w:val="en-US" w:eastAsia="zh-CN" w:bidi="ar"/>
              </w:rPr>
              <w:t>.00</w:t>
            </w:r>
          </w:p>
        </w:tc>
        <w:tc>
          <w:tcPr>
            <w:tcW w:w="1405"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color w:val="auto"/>
                <w:sz w:val="22"/>
                <w:szCs w:val="22"/>
                <w:u w:val="none"/>
              </w:rPr>
            </w:pPr>
          </w:p>
        </w:tc>
        <w:tc>
          <w:tcPr>
            <w:tcW w:w="117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r>
              <w:rPr>
                <w:rFonts w:hint="eastAsia" w:cs="宋体"/>
                <w:i w:val="0"/>
                <w:color w:val="auto"/>
                <w:kern w:val="0"/>
                <w:sz w:val="22"/>
                <w:szCs w:val="22"/>
                <w:u w:val="none"/>
                <w:lang w:val="en-US" w:eastAsia="zh-CN" w:bidi="ar"/>
              </w:rPr>
              <w:t>.00</w:t>
            </w:r>
          </w:p>
        </w:tc>
        <w:tc>
          <w:tcPr>
            <w:tcW w:w="860"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color w:val="auto"/>
                <w:sz w:val="22"/>
                <w:szCs w:val="22"/>
                <w:u w:val="none"/>
              </w:rPr>
            </w:pPr>
          </w:p>
        </w:tc>
        <w:tc>
          <w:tcPr>
            <w:tcW w:w="851"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r>
              <w:rPr>
                <w:rFonts w:hint="eastAsia" w:cs="宋体"/>
                <w:i w:val="0"/>
                <w:color w:val="auto"/>
                <w:kern w:val="0"/>
                <w:sz w:val="22"/>
                <w:szCs w:val="22"/>
                <w:u w:val="none"/>
                <w:lang w:val="en-US" w:eastAsia="zh-CN" w:bidi="ar"/>
              </w:rPr>
              <w:t>.00</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auto"/>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auto"/>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61"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1961" w:type="dxa"/>
            <w:tcBorders>
              <w:top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auto"/>
                <w:sz w:val="22"/>
                <w:szCs w:val="22"/>
                <w:u w:val="none"/>
              </w:rPr>
            </w:pPr>
          </w:p>
        </w:tc>
        <w:tc>
          <w:tcPr>
            <w:tcW w:w="1440"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color w:val="auto"/>
                <w:sz w:val="22"/>
                <w:szCs w:val="22"/>
                <w:u w:val="none"/>
              </w:rPr>
            </w:pPr>
          </w:p>
        </w:tc>
        <w:tc>
          <w:tcPr>
            <w:tcW w:w="196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r>
              <w:rPr>
                <w:rFonts w:hint="eastAsia" w:cs="宋体"/>
                <w:i w:val="0"/>
                <w:color w:val="auto"/>
                <w:kern w:val="0"/>
                <w:sz w:val="22"/>
                <w:szCs w:val="22"/>
                <w:u w:val="none"/>
                <w:lang w:val="en-US" w:eastAsia="zh-CN" w:bidi="ar"/>
              </w:rPr>
              <w:t>.00</w:t>
            </w:r>
          </w:p>
        </w:tc>
        <w:tc>
          <w:tcPr>
            <w:tcW w:w="1405"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color w:val="auto"/>
                <w:sz w:val="22"/>
                <w:szCs w:val="22"/>
                <w:u w:val="none"/>
              </w:rPr>
            </w:pPr>
          </w:p>
        </w:tc>
        <w:tc>
          <w:tcPr>
            <w:tcW w:w="117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r>
              <w:rPr>
                <w:rFonts w:hint="eastAsia" w:cs="宋体"/>
                <w:i w:val="0"/>
                <w:color w:val="auto"/>
                <w:kern w:val="0"/>
                <w:sz w:val="22"/>
                <w:szCs w:val="22"/>
                <w:u w:val="none"/>
                <w:lang w:val="en-US" w:eastAsia="zh-CN" w:bidi="ar"/>
              </w:rPr>
              <w:t>.00</w:t>
            </w:r>
          </w:p>
        </w:tc>
        <w:tc>
          <w:tcPr>
            <w:tcW w:w="860"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color w:val="auto"/>
                <w:sz w:val="22"/>
                <w:szCs w:val="22"/>
                <w:u w:val="none"/>
              </w:rPr>
            </w:pPr>
          </w:p>
        </w:tc>
        <w:tc>
          <w:tcPr>
            <w:tcW w:w="851"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r>
              <w:rPr>
                <w:rFonts w:hint="eastAsia" w:cs="宋体"/>
                <w:i w:val="0"/>
                <w:color w:val="auto"/>
                <w:kern w:val="0"/>
                <w:sz w:val="22"/>
                <w:szCs w:val="22"/>
                <w:u w:val="none"/>
                <w:lang w:val="en-US" w:eastAsia="zh-CN" w:bidi="ar"/>
              </w:rPr>
              <w:t>.00</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61"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一般公共预算</w:t>
            </w:r>
          </w:p>
        </w:tc>
        <w:tc>
          <w:tcPr>
            <w:tcW w:w="1961" w:type="dxa"/>
            <w:tcBorders>
              <w:top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auto"/>
                <w:sz w:val="22"/>
                <w:szCs w:val="22"/>
                <w:u w:val="none"/>
              </w:rPr>
            </w:pPr>
          </w:p>
        </w:tc>
        <w:tc>
          <w:tcPr>
            <w:tcW w:w="1440"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color w:val="auto"/>
                <w:sz w:val="22"/>
                <w:szCs w:val="22"/>
                <w:u w:val="none"/>
              </w:rPr>
            </w:pPr>
          </w:p>
        </w:tc>
        <w:tc>
          <w:tcPr>
            <w:tcW w:w="1968"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r>
              <w:rPr>
                <w:rFonts w:hint="eastAsia" w:cs="宋体"/>
                <w:i w:val="0"/>
                <w:color w:val="auto"/>
                <w:kern w:val="0"/>
                <w:sz w:val="22"/>
                <w:szCs w:val="22"/>
                <w:u w:val="none"/>
                <w:lang w:val="en-US" w:eastAsia="zh-CN" w:bidi="ar"/>
              </w:rPr>
              <w:t>.00</w:t>
            </w:r>
          </w:p>
        </w:tc>
        <w:tc>
          <w:tcPr>
            <w:tcW w:w="1405"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color w:val="auto"/>
                <w:sz w:val="22"/>
                <w:szCs w:val="22"/>
                <w:u w:val="none"/>
              </w:rPr>
            </w:pPr>
          </w:p>
        </w:tc>
        <w:tc>
          <w:tcPr>
            <w:tcW w:w="1177"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r>
              <w:rPr>
                <w:rFonts w:hint="eastAsia" w:cs="宋体"/>
                <w:i w:val="0"/>
                <w:color w:val="auto"/>
                <w:kern w:val="0"/>
                <w:sz w:val="22"/>
                <w:szCs w:val="22"/>
                <w:u w:val="none"/>
                <w:lang w:val="en-US" w:eastAsia="zh-CN" w:bidi="ar"/>
              </w:rPr>
              <w:t>.00</w:t>
            </w:r>
          </w:p>
        </w:tc>
        <w:tc>
          <w:tcPr>
            <w:tcW w:w="860"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color w:val="auto"/>
                <w:sz w:val="22"/>
                <w:szCs w:val="22"/>
                <w:u w:val="none"/>
              </w:rPr>
            </w:pPr>
          </w:p>
        </w:tc>
        <w:tc>
          <w:tcPr>
            <w:tcW w:w="851"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r>
              <w:rPr>
                <w:rFonts w:hint="eastAsia" w:cs="宋体"/>
                <w:i w:val="0"/>
                <w:color w:val="auto"/>
                <w:kern w:val="0"/>
                <w:sz w:val="22"/>
                <w:szCs w:val="22"/>
                <w:u w:val="none"/>
                <w:lang w:val="en-US" w:eastAsia="zh-CN" w:bidi="ar"/>
              </w:rPr>
              <w:t>.00</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auto"/>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33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年初绩效目标</w:t>
            </w:r>
          </w:p>
        </w:tc>
        <w:tc>
          <w:tcPr>
            <w:tcW w:w="4293"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全年（调整）绩效目标</w:t>
            </w:r>
          </w:p>
        </w:tc>
        <w:tc>
          <w:tcPr>
            <w:tcW w:w="2822"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1" w:hRule="atLeast"/>
        </w:trPr>
        <w:tc>
          <w:tcPr>
            <w:tcW w:w="7330" w:type="dxa"/>
            <w:gridSpan w:val="4"/>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保障交通行业安全工作支出</w:t>
            </w:r>
          </w:p>
        </w:tc>
        <w:tc>
          <w:tcPr>
            <w:tcW w:w="4293" w:type="dxa"/>
            <w:gridSpan w:val="4"/>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保障交通行业安全工作支出</w:t>
            </w:r>
          </w:p>
        </w:tc>
        <w:tc>
          <w:tcPr>
            <w:tcW w:w="2822"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保障交通行业安全工作支出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指标名称</w:t>
            </w:r>
          </w:p>
        </w:tc>
        <w:tc>
          <w:tcPr>
            <w:tcW w:w="1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计量单位</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指标性质</w:t>
            </w:r>
          </w:p>
        </w:tc>
        <w:tc>
          <w:tcPr>
            <w:tcW w:w="19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指标值</w:t>
            </w:r>
          </w:p>
        </w:tc>
        <w:tc>
          <w:tcPr>
            <w:tcW w:w="1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全年完成值</w:t>
            </w:r>
          </w:p>
        </w:tc>
        <w:tc>
          <w:tcPr>
            <w:tcW w:w="11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偏离度（%）</w:t>
            </w:r>
          </w:p>
        </w:tc>
        <w:tc>
          <w:tcPr>
            <w:tcW w:w="8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得分系数（%）</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指标权重</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指标得分</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是否核心指标</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交通安全死亡控制数</w:t>
            </w:r>
          </w:p>
        </w:tc>
        <w:tc>
          <w:tcPr>
            <w:tcW w:w="1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9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1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全年无死亡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事故隐患督查整治率</w:t>
            </w:r>
          </w:p>
        </w:tc>
        <w:tc>
          <w:tcPr>
            <w:tcW w:w="1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9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8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交通安全培训</w:t>
            </w:r>
          </w:p>
        </w:tc>
        <w:tc>
          <w:tcPr>
            <w:tcW w:w="1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次</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9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1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11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8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行业安全稳定</w:t>
            </w:r>
          </w:p>
        </w:tc>
        <w:tc>
          <w:tcPr>
            <w:tcW w:w="1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定性</w:t>
            </w:r>
          </w:p>
        </w:tc>
        <w:tc>
          <w:tcPr>
            <w:tcW w:w="19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优</w:t>
            </w:r>
          </w:p>
        </w:tc>
        <w:tc>
          <w:tcPr>
            <w:tcW w:w="1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1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8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投诉率</w:t>
            </w:r>
          </w:p>
        </w:tc>
        <w:tc>
          <w:tcPr>
            <w:tcW w:w="1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9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1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全年无投诉</w:t>
            </w:r>
          </w:p>
        </w:tc>
      </w:tr>
    </w:tbl>
    <w:p>
      <w:pPr>
        <w:pStyle w:val="9"/>
        <w:autoSpaceDE w:val="0"/>
        <w:spacing w:before="0" w:beforeAutospacing="0" w:line="600" w:lineRule="exact"/>
        <w:ind w:firstLine="640" w:firstLineChars="200"/>
        <w:rPr>
          <w:rFonts w:hint="eastAsia" w:ascii="方正仿宋_GBK" w:hAnsi="方正仿宋_GBK" w:eastAsia="方正仿宋_GBK" w:cs="方正仿宋_GBK"/>
          <w:color w:val="auto"/>
          <w:sz w:val="32"/>
          <w:szCs w:val="32"/>
          <w:shd w:val="clear" w:color="auto" w:fill="FFFFFF"/>
          <w:lang w:eastAsia="zh-CN"/>
        </w:rPr>
      </w:pPr>
    </w:p>
    <w:tbl>
      <w:tblPr>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886"/>
        <w:gridCol w:w="1885"/>
        <w:gridCol w:w="1389"/>
        <w:gridCol w:w="1922"/>
        <w:gridCol w:w="1300"/>
        <w:gridCol w:w="1282"/>
        <w:gridCol w:w="841"/>
        <w:gridCol w:w="865"/>
        <w:gridCol w:w="828"/>
        <w:gridCol w:w="838"/>
        <w:gridCol w:w="14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95" w:hRule="atLeast"/>
        </w:trPr>
        <w:tc>
          <w:tcPr>
            <w:tcW w:w="14445" w:type="dxa"/>
            <w:gridSpan w:val="11"/>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kern w:val="0"/>
                <w:sz w:val="40"/>
                <w:szCs w:val="40"/>
                <w:u w:val="none"/>
                <w:lang w:val="en-US" w:eastAsia="zh-CN" w:bidi="ar"/>
              </w:rPr>
              <w:t>2023年度二级项目绩效自评表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4445" w:type="dxa"/>
            <w:gridSpan w:val="11"/>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b/>
                <w:i w:val="0"/>
                <w:color w:val="auto"/>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项目名称：</w:t>
            </w:r>
          </w:p>
        </w:tc>
        <w:tc>
          <w:tcPr>
            <w:tcW w:w="327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江綦高速营运补贴等专项资金预算</w:t>
            </w:r>
          </w:p>
        </w:tc>
        <w:tc>
          <w:tcPr>
            <w:tcW w:w="1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项目编码：</w:t>
            </w:r>
          </w:p>
        </w:tc>
        <w:tc>
          <w:tcPr>
            <w:tcW w:w="258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50011024T000004226522</w:t>
            </w:r>
          </w:p>
        </w:tc>
        <w:tc>
          <w:tcPr>
            <w:tcW w:w="8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自评总分：</w:t>
            </w:r>
          </w:p>
        </w:tc>
        <w:tc>
          <w:tcPr>
            <w:tcW w:w="169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100.00</w:t>
            </w: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i w:val="0"/>
                <w:color w:val="auto"/>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项目主管部门：</w:t>
            </w:r>
          </w:p>
        </w:tc>
        <w:tc>
          <w:tcPr>
            <w:tcW w:w="327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216-重庆市綦江区交通运输委员会</w:t>
            </w:r>
          </w:p>
        </w:tc>
        <w:tc>
          <w:tcPr>
            <w:tcW w:w="1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财政归口处室：</w:t>
            </w:r>
          </w:p>
        </w:tc>
        <w:tc>
          <w:tcPr>
            <w:tcW w:w="258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008-经济建设科</w:t>
            </w:r>
          </w:p>
        </w:tc>
        <w:tc>
          <w:tcPr>
            <w:tcW w:w="8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部门联系人：</w:t>
            </w:r>
          </w:p>
        </w:tc>
        <w:tc>
          <w:tcPr>
            <w:tcW w:w="169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周玉成</w:t>
            </w: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联系电话：</w:t>
            </w:r>
          </w:p>
        </w:tc>
        <w:tc>
          <w:tcPr>
            <w:tcW w:w="1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85886008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377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auto"/>
                <w:sz w:val="22"/>
                <w:szCs w:val="22"/>
                <w:u w:val="none"/>
              </w:rPr>
            </w:pPr>
          </w:p>
        </w:tc>
        <w:tc>
          <w:tcPr>
            <w:tcW w:w="331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年初预算数</w:t>
            </w:r>
          </w:p>
        </w:tc>
        <w:tc>
          <w:tcPr>
            <w:tcW w:w="258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全年（调整）预算数</w:t>
            </w:r>
          </w:p>
        </w:tc>
        <w:tc>
          <w:tcPr>
            <w:tcW w:w="17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全年执行数</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w:t>
            </w: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执行率权重</w:t>
            </w:r>
          </w:p>
        </w:tc>
        <w:tc>
          <w:tcPr>
            <w:tcW w:w="1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年度总金额</w:t>
            </w:r>
          </w:p>
        </w:tc>
        <w:tc>
          <w:tcPr>
            <w:tcW w:w="1885" w:type="dxa"/>
            <w:tcBorders>
              <w:top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auto"/>
                <w:sz w:val="22"/>
                <w:szCs w:val="22"/>
                <w:u w:val="none"/>
              </w:rPr>
            </w:pPr>
          </w:p>
        </w:tc>
        <w:tc>
          <w:tcPr>
            <w:tcW w:w="1389"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color w:val="auto"/>
                <w:sz w:val="22"/>
                <w:szCs w:val="22"/>
                <w:u w:val="none"/>
              </w:rPr>
            </w:pPr>
          </w:p>
        </w:tc>
        <w:tc>
          <w:tcPr>
            <w:tcW w:w="1922"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1300"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color w:val="auto"/>
                <w:sz w:val="22"/>
                <w:szCs w:val="22"/>
                <w:u w:val="none"/>
              </w:rPr>
            </w:pPr>
          </w:p>
        </w:tc>
        <w:tc>
          <w:tcPr>
            <w:tcW w:w="1282"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2500.00 </w:t>
            </w:r>
          </w:p>
        </w:tc>
        <w:tc>
          <w:tcPr>
            <w:tcW w:w="841"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color w:val="auto"/>
                <w:sz w:val="22"/>
                <w:szCs w:val="22"/>
                <w:u w:val="none"/>
              </w:rPr>
            </w:pPr>
          </w:p>
        </w:tc>
        <w:tc>
          <w:tcPr>
            <w:tcW w:w="86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2500.00 </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auto"/>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auto"/>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1885" w:type="dxa"/>
            <w:tcBorders>
              <w:top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auto"/>
                <w:sz w:val="22"/>
                <w:szCs w:val="22"/>
                <w:u w:val="none"/>
              </w:rPr>
            </w:pPr>
          </w:p>
        </w:tc>
        <w:tc>
          <w:tcPr>
            <w:tcW w:w="1389"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color w:val="auto"/>
                <w:sz w:val="22"/>
                <w:szCs w:val="22"/>
                <w:u w:val="none"/>
              </w:rPr>
            </w:pPr>
          </w:p>
        </w:tc>
        <w:tc>
          <w:tcPr>
            <w:tcW w:w="1922"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1300"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color w:val="auto"/>
                <w:sz w:val="22"/>
                <w:szCs w:val="22"/>
                <w:u w:val="none"/>
              </w:rPr>
            </w:pPr>
          </w:p>
        </w:tc>
        <w:tc>
          <w:tcPr>
            <w:tcW w:w="1282"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2500.00 </w:t>
            </w:r>
          </w:p>
        </w:tc>
        <w:tc>
          <w:tcPr>
            <w:tcW w:w="841"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color w:val="auto"/>
                <w:sz w:val="22"/>
                <w:szCs w:val="22"/>
                <w:u w:val="none"/>
              </w:rPr>
            </w:pPr>
          </w:p>
        </w:tc>
        <w:tc>
          <w:tcPr>
            <w:tcW w:w="86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2500.00 </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1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一般公共预算</w:t>
            </w:r>
          </w:p>
        </w:tc>
        <w:tc>
          <w:tcPr>
            <w:tcW w:w="1885" w:type="dxa"/>
            <w:tcBorders>
              <w:top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auto"/>
                <w:sz w:val="22"/>
                <w:szCs w:val="22"/>
                <w:u w:val="none"/>
              </w:rPr>
            </w:pPr>
          </w:p>
        </w:tc>
        <w:tc>
          <w:tcPr>
            <w:tcW w:w="1389"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color w:val="auto"/>
                <w:sz w:val="22"/>
                <w:szCs w:val="22"/>
                <w:u w:val="none"/>
              </w:rPr>
            </w:pPr>
          </w:p>
        </w:tc>
        <w:tc>
          <w:tcPr>
            <w:tcW w:w="1922"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1300"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color w:val="auto"/>
                <w:sz w:val="22"/>
                <w:szCs w:val="22"/>
                <w:u w:val="none"/>
              </w:rPr>
            </w:pPr>
          </w:p>
        </w:tc>
        <w:tc>
          <w:tcPr>
            <w:tcW w:w="1282"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841"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color w:val="auto"/>
                <w:sz w:val="22"/>
                <w:szCs w:val="22"/>
                <w:u w:val="none"/>
              </w:rPr>
            </w:pPr>
          </w:p>
        </w:tc>
        <w:tc>
          <w:tcPr>
            <w:tcW w:w="865"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auto"/>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7082"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年初绩效目标</w:t>
            </w:r>
          </w:p>
        </w:tc>
        <w:tc>
          <w:tcPr>
            <w:tcW w:w="4288"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全年（调整）绩效目标</w:t>
            </w:r>
          </w:p>
        </w:tc>
        <w:tc>
          <w:tcPr>
            <w:tcW w:w="307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591" w:hRule="atLeast"/>
        </w:trPr>
        <w:tc>
          <w:tcPr>
            <w:tcW w:w="7082" w:type="dxa"/>
            <w:gridSpan w:val="4"/>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根据区政府批示完成对江綦高速公路营运补贴1141万元的支付。</w:t>
            </w:r>
          </w:p>
        </w:tc>
        <w:tc>
          <w:tcPr>
            <w:tcW w:w="4288" w:type="dxa"/>
            <w:gridSpan w:val="4"/>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根据区政府批示完成对江綦高速公路营运补贴1141万元的支付。</w:t>
            </w:r>
          </w:p>
        </w:tc>
        <w:tc>
          <w:tcPr>
            <w:tcW w:w="3075"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根据区政府批示完成对江綦高速公路营运补贴1141万元的支付。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指标名称</w:t>
            </w:r>
          </w:p>
        </w:tc>
        <w:tc>
          <w:tcPr>
            <w:tcW w:w="1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计量单位</w:t>
            </w:r>
          </w:p>
        </w:tc>
        <w:tc>
          <w:tcPr>
            <w:tcW w:w="1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指标性质</w:t>
            </w:r>
          </w:p>
        </w:tc>
        <w:tc>
          <w:tcPr>
            <w:tcW w:w="1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指标值</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全年完成值</w:t>
            </w:r>
          </w:p>
        </w:tc>
        <w:tc>
          <w:tcPr>
            <w:tcW w:w="12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偏离度（%）</w:t>
            </w:r>
          </w:p>
        </w:tc>
        <w:tc>
          <w:tcPr>
            <w:tcW w:w="8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得分系数（%）</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指标权重</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指标得分</w:t>
            </w: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是否核心指标</w:t>
            </w:r>
          </w:p>
        </w:tc>
        <w:tc>
          <w:tcPr>
            <w:tcW w:w="1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补贴里程</w:t>
            </w:r>
          </w:p>
        </w:tc>
        <w:tc>
          <w:tcPr>
            <w:tcW w:w="1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公里</w:t>
            </w:r>
          </w:p>
        </w:tc>
        <w:tc>
          <w:tcPr>
            <w:tcW w:w="1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22.82</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22.82</w:t>
            </w:r>
          </w:p>
        </w:tc>
        <w:tc>
          <w:tcPr>
            <w:tcW w:w="12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8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auto"/>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道路畅通率</w:t>
            </w:r>
          </w:p>
        </w:tc>
        <w:tc>
          <w:tcPr>
            <w:tcW w:w="1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2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8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auto"/>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完成补贴时间</w:t>
            </w:r>
          </w:p>
        </w:tc>
        <w:tc>
          <w:tcPr>
            <w:tcW w:w="1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月</w:t>
            </w:r>
          </w:p>
        </w:tc>
        <w:tc>
          <w:tcPr>
            <w:tcW w:w="1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12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8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auto"/>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受益对象</w:t>
            </w:r>
          </w:p>
        </w:tc>
        <w:tc>
          <w:tcPr>
            <w:tcW w:w="1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万人次</w:t>
            </w:r>
          </w:p>
        </w:tc>
        <w:tc>
          <w:tcPr>
            <w:tcW w:w="1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2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8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auto"/>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投诉率</w:t>
            </w:r>
          </w:p>
        </w:tc>
        <w:tc>
          <w:tcPr>
            <w:tcW w:w="1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2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83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auto"/>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全年无投诉</w:t>
            </w:r>
          </w:p>
        </w:tc>
      </w:tr>
    </w:tbl>
    <w:p>
      <w:pPr>
        <w:pStyle w:val="9"/>
        <w:autoSpaceDE w:val="0"/>
        <w:spacing w:before="0" w:beforeAutospacing="0" w:line="600" w:lineRule="exact"/>
        <w:ind w:firstLine="640" w:firstLineChars="200"/>
        <w:rPr>
          <w:rFonts w:hint="eastAsia" w:ascii="方正仿宋_GBK" w:hAnsi="方正仿宋_GBK" w:eastAsia="方正仿宋_GBK" w:cs="方正仿宋_GBK"/>
          <w:color w:val="auto"/>
          <w:sz w:val="32"/>
          <w:szCs w:val="32"/>
          <w:shd w:val="clear" w:color="auto" w:fill="FFFFFF"/>
          <w:lang w:eastAsia="zh-CN"/>
        </w:rPr>
      </w:pPr>
    </w:p>
    <w:p>
      <w:pPr>
        <w:pStyle w:val="8"/>
        <w:numPr>
          <w:ilvl w:val="0"/>
          <w:numId w:val="2"/>
        </w:numPr>
        <w:autoSpaceDE w:val="0"/>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单位绩效评价情况</w:t>
      </w:r>
    </w:p>
    <w:p>
      <w:pPr>
        <w:pStyle w:val="8"/>
        <w:numPr>
          <w:ilvl w:val="0"/>
          <w:numId w:val="0"/>
        </w:numPr>
        <w:autoSpaceDE w:val="0"/>
        <w:ind w:firstLine="640" w:firstLineChars="20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我单位未组织开展绩效评价</w:t>
      </w:r>
    </w:p>
    <w:p>
      <w:pPr>
        <w:pStyle w:val="8"/>
        <w:numPr>
          <w:ilvl w:val="0"/>
          <w:numId w:val="3"/>
        </w:numPr>
        <w:autoSpaceDE w:val="0"/>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财政绩效评价情况</w:t>
      </w:r>
    </w:p>
    <w:p>
      <w:pPr>
        <w:pStyle w:val="8"/>
        <w:numPr>
          <w:ilvl w:val="0"/>
          <w:numId w:val="0"/>
        </w:numPr>
        <w:autoSpaceDE w:val="0"/>
        <w:ind w:firstLine="640" w:firstLineChars="20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市财政局未委托第三方对我单位开展绩效评价</w:t>
      </w:r>
    </w:p>
    <w:p>
      <w:pPr>
        <w:pStyle w:val="4"/>
        <w:shd w:val="clear" w:color="auto" w:fill="FFFFFF"/>
        <w:rPr>
          <w:rStyle w:val="6"/>
          <w:rFonts w:hint="default" w:ascii="方正仿宋_GBK" w:hAnsi="方正仿宋_GBK" w:eastAsia="方正仿宋_GBK" w:cs="方正仿宋_GBK"/>
          <w:color w:val="auto"/>
          <w:sz w:val="32"/>
          <w:szCs w:val="32"/>
          <w:shd w:val="clear" w:color="auto" w:fill="FFFFFF"/>
        </w:rPr>
      </w:pPr>
      <w:r>
        <w:rPr>
          <w:rStyle w:val="6"/>
          <w:rFonts w:ascii="方正仿宋_GBK" w:hAnsi="方正仿宋_GBK" w:eastAsia="方正仿宋_GBK" w:cs="方正仿宋_GBK"/>
          <w:color w:val="auto"/>
          <w:sz w:val="32"/>
          <w:szCs w:val="32"/>
          <w:shd w:val="clear" w:color="auto" w:fill="FFFFFF"/>
        </w:rPr>
        <w:t xml:space="preserve">  </w:t>
      </w:r>
      <w:r>
        <w:rPr>
          <w:rStyle w:val="6"/>
          <w:rFonts w:ascii="黑体" w:hAnsi="黑体" w:eastAsia="黑体" w:cs="黑体"/>
          <w:color w:val="auto"/>
          <w:sz w:val="32"/>
          <w:szCs w:val="32"/>
          <w:shd w:val="clear" w:color="auto" w:fill="FFFFFF"/>
        </w:rPr>
        <w:t>六、专业名词解释</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b/>
          <w:bCs/>
          <w:color w:val="auto"/>
          <w:sz w:val="32"/>
          <w:szCs w:val="32"/>
          <w:shd w:val="clear" w:color="auto" w:fill="FFFFFF"/>
        </w:rPr>
        <w:t> </w:t>
      </w:r>
      <w:r>
        <w:rPr>
          <w:rFonts w:ascii="楷体" w:hAnsi="楷体" w:eastAsia="楷体" w:cs="楷体"/>
          <w:b/>
          <w:bCs/>
          <w:color w:val="auto"/>
          <w:sz w:val="32"/>
          <w:szCs w:val="32"/>
          <w:shd w:val="clear" w:color="auto" w:fill="FFFFFF"/>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 </w:t>
      </w:r>
      <w:r>
        <w:rPr>
          <w:rStyle w:val="6"/>
          <w:rFonts w:ascii="楷体" w:hAnsi="楷体" w:eastAsia="楷体" w:cs="楷体"/>
          <w:color w:val="auto"/>
          <w:sz w:val="32"/>
          <w:szCs w:val="32"/>
          <w:shd w:val="clear" w:color="auto" w:fill="FFFFFF"/>
        </w:rPr>
        <w:t>（二）事业收入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 </w:t>
      </w:r>
      <w:r>
        <w:rPr>
          <w:rStyle w:val="6"/>
          <w:rFonts w:ascii="楷体" w:hAnsi="楷体" w:eastAsia="楷体" w:cs="楷体"/>
          <w:color w:val="auto"/>
          <w:sz w:val="32"/>
          <w:szCs w:val="32"/>
          <w:shd w:val="clear" w:color="auto" w:fill="FFFFFF"/>
        </w:rPr>
        <w:t>（三）经营收入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 </w:t>
      </w:r>
      <w:r>
        <w:rPr>
          <w:rStyle w:val="6"/>
          <w:rFonts w:ascii="楷体" w:hAnsi="楷体" w:eastAsia="楷体" w:cs="楷体"/>
          <w:color w:val="auto"/>
          <w:sz w:val="32"/>
          <w:szCs w:val="32"/>
          <w:shd w:val="clear" w:color="auto" w:fill="FFFFFF"/>
        </w:rPr>
        <w:t>（四）其他收入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6"/>
          <w:rFonts w:ascii="楷体" w:hAnsi="楷体" w:eastAsia="楷体" w:cs="楷体"/>
          <w:color w:val="auto"/>
          <w:sz w:val="32"/>
          <w:szCs w:val="32"/>
          <w:shd w:val="clear" w:color="auto" w:fill="FFFFFF"/>
        </w:rPr>
        <w:t>（五）使用非财政拨款结余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 </w:t>
      </w:r>
      <w:r>
        <w:rPr>
          <w:rStyle w:val="6"/>
          <w:rFonts w:ascii="楷体" w:hAnsi="楷体" w:eastAsia="楷体" w:cs="楷体"/>
          <w:color w:val="auto"/>
          <w:sz w:val="32"/>
          <w:szCs w:val="32"/>
          <w:shd w:val="clear" w:color="auto" w:fill="FFFFFF"/>
        </w:rPr>
        <w:t>（六）年初结转和结余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 </w:t>
      </w:r>
      <w:r>
        <w:rPr>
          <w:rStyle w:val="6"/>
          <w:rFonts w:ascii="楷体" w:hAnsi="楷体" w:eastAsia="楷体" w:cs="楷体"/>
          <w:color w:val="auto"/>
          <w:sz w:val="32"/>
          <w:szCs w:val="32"/>
          <w:shd w:val="clear" w:color="auto" w:fill="FFFFFF"/>
        </w:rPr>
        <w:t>（七）结余分配</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 </w:t>
      </w:r>
      <w:r>
        <w:rPr>
          <w:rStyle w:val="6"/>
          <w:rFonts w:ascii="楷体" w:hAnsi="楷体" w:eastAsia="楷体" w:cs="楷体"/>
          <w:color w:val="auto"/>
          <w:sz w:val="32"/>
          <w:szCs w:val="32"/>
          <w:shd w:val="clear" w:color="auto" w:fill="FFFFFF"/>
        </w:rPr>
        <w:t>（八）年末结转和结余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 </w:t>
      </w:r>
      <w:r>
        <w:rPr>
          <w:rStyle w:val="6"/>
          <w:rFonts w:ascii="楷体" w:hAnsi="楷体" w:eastAsia="楷体" w:cs="楷体"/>
          <w:color w:val="auto"/>
          <w:sz w:val="32"/>
          <w:szCs w:val="32"/>
          <w:shd w:val="clear" w:color="auto" w:fill="FFFFFF"/>
        </w:rPr>
        <w:t>（九）基本支出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 </w:t>
      </w:r>
      <w:r>
        <w:rPr>
          <w:rStyle w:val="6"/>
          <w:rFonts w:ascii="楷体" w:hAnsi="楷体" w:eastAsia="楷体" w:cs="楷体"/>
          <w:color w:val="auto"/>
          <w:sz w:val="32"/>
          <w:szCs w:val="32"/>
          <w:shd w:val="clear" w:color="auto" w:fill="FFFFFF"/>
        </w:rPr>
        <w:t>（十）项目支出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 </w:t>
      </w:r>
      <w:r>
        <w:rPr>
          <w:rStyle w:val="6"/>
          <w:rFonts w:ascii="楷体" w:hAnsi="楷体" w:eastAsia="楷体" w:cs="楷体"/>
          <w:color w:val="auto"/>
          <w:sz w:val="32"/>
          <w:szCs w:val="32"/>
          <w:shd w:val="clear" w:color="auto" w:fill="FFFFFF"/>
        </w:rPr>
        <w:t>（十一）经营支出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 </w:t>
      </w:r>
      <w:r>
        <w:rPr>
          <w:rStyle w:val="6"/>
          <w:rFonts w:ascii="楷体" w:hAnsi="楷体" w:eastAsia="楷体" w:cs="楷体"/>
          <w:color w:val="auto"/>
          <w:sz w:val="32"/>
          <w:szCs w:val="32"/>
          <w:shd w:val="clear" w:color="auto" w:fill="FFFFFF"/>
        </w:rPr>
        <w:t>（十二）“三公”经费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 </w:t>
      </w:r>
      <w:r>
        <w:rPr>
          <w:rStyle w:val="6"/>
          <w:rFonts w:ascii="楷体" w:hAnsi="楷体" w:eastAsia="楷体" w:cs="楷体"/>
          <w:color w:val="auto"/>
          <w:sz w:val="32"/>
          <w:szCs w:val="32"/>
          <w:shd w:val="clear" w:color="auto" w:fill="FFFFFF"/>
        </w:rPr>
        <w:t>（十三）机关运行经费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 </w:t>
      </w:r>
      <w:r>
        <w:rPr>
          <w:rStyle w:val="6"/>
          <w:rFonts w:ascii="楷体" w:hAnsi="楷体" w:eastAsia="楷体" w:cs="楷体"/>
          <w:color w:val="auto"/>
          <w:sz w:val="32"/>
          <w:szCs w:val="32"/>
          <w:shd w:val="clear" w:color="auto" w:fill="FFFFFF"/>
        </w:rPr>
        <w:t>（十四）工资福利支出（支出经济分类科目类级）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 </w:t>
      </w:r>
      <w:r>
        <w:rPr>
          <w:rStyle w:val="6"/>
          <w:rFonts w:ascii="楷体" w:hAnsi="楷体" w:eastAsia="楷体" w:cs="楷体"/>
          <w:color w:val="auto"/>
          <w:sz w:val="32"/>
          <w:szCs w:val="32"/>
          <w:shd w:val="clear" w:color="auto" w:fill="FFFFFF"/>
        </w:rPr>
        <w:t>（十五）商品和服务支出（支出经济分类科目类级）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6"/>
          <w:rFonts w:ascii="楷体" w:hAnsi="楷体" w:eastAsia="楷体" w:cs="楷体"/>
          <w:color w:val="auto"/>
          <w:sz w:val="32"/>
          <w:szCs w:val="32"/>
          <w:shd w:val="clear" w:color="auto" w:fill="FFFFFF"/>
        </w:rPr>
        <w:t> （十六）对个人和家庭的补助（支出经济分类科目类级）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反映用于对个人和家庭的补助支出。</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 </w:t>
      </w:r>
      <w:r>
        <w:rPr>
          <w:rStyle w:val="6"/>
          <w:rFonts w:ascii="楷体" w:hAnsi="楷体" w:eastAsia="楷体" w:cs="楷体"/>
          <w:color w:val="auto"/>
          <w:sz w:val="32"/>
          <w:szCs w:val="32"/>
          <w:shd w:val="clear" w:color="auto" w:fill="FFFFFF"/>
        </w:rPr>
        <w:t>（十七）其他资本性支出（支出经济分类科目类级）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4"/>
        <w:shd w:val="clear" w:color="auto" w:fill="FFFFFF"/>
        <w:rPr>
          <w:rStyle w:val="6"/>
          <w:rFonts w:hint="default" w:ascii="方正仿宋_GBK" w:hAnsi="方正仿宋_GBK" w:eastAsia="方正仿宋_GBK" w:cs="方正仿宋_GBK"/>
          <w:color w:val="auto"/>
          <w:sz w:val="32"/>
          <w:szCs w:val="32"/>
          <w:shd w:val="clear" w:color="auto" w:fill="FFFFFF"/>
        </w:rPr>
      </w:pPr>
      <w:r>
        <w:rPr>
          <w:rStyle w:val="6"/>
          <w:rFonts w:ascii="方正仿宋_GBK" w:hAnsi="方正仿宋_GBK" w:eastAsia="方正仿宋_GBK" w:cs="方正仿宋_GBK"/>
          <w:color w:val="auto"/>
          <w:sz w:val="32"/>
          <w:szCs w:val="32"/>
          <w:shd w:val="clear" w:color="auto" w:fill="FFFFFF"/>
        </w:rPr>
        <w:t xml:space="preserve">  </w:t>
      </w:r>
      <w:r>
        <w:rPr>
          <w:rStyle w:val="6"/>
          <w:rFonts w:ascii="黑体" w:hAnsi="黑体" w:eastAsia="黑体" w:cs="黑体"/>
          <w:color w:val="auto"/>
          <w:sz w:val="32"/>
          <w:szCs w:val="32"/>
          <w:shd w:val="clear" w:color="auto" w:fill="FFFFFF"/>
        </w:rPr>
        <w:t>七、决算公开联系方式及信息反馈渠道</w:t>
      </w:r>
    </w:p>
    <w:p>
      <w:pPr>
        <w:pStyle w:val="4"/>
        <w:snapToGrid w:val="0"/>
        <w:spacing w:before="0" w:beforeAutospacing="0" w:after="0" w:afterAutospacing="0" w:line="600" w:lineRule="exact"/>
        <w:ind w:firstLine="640" w:firstLineChars="200"/>
        <w:jc w:val="both"/>
        <w:rPr>
          <w:rFonts w:hint="default" w:cs="宋体"/>
          <w:color w:val="auto"/>
          <w:sz w:val="21"/>
          <w:szCs w:val="21"/>
        </w:rPr>
      </w:pPr>
      <w:r>
        <w:rPr>
          <w:rFonts w:ascii="方正仿宋_GBK" w:hAnsi="方正仿宋_GBK" w:eastAsia="方正仿宋_GBK" w:cs="方正仿宋_GBK"/>
          <w:color w:val="auto"/>
          <w:sz w:val="32"/>
          <w:szCs w:val="32"/>
          <w:shd w:val="clear" w:color="auto" w:fill="FFFFFF"/>
        </w:rPr>
        <w:t>本单位决算公开信息反馈和联系方式：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023-85886008</w:t>
      </w:r>
      <w:r>
        <w:rPr>
          <w:rFonts w:ascii="方正仿宋_GBK" w:hAnsi="方正仿宋_GBK" w:eastAsia="方正仿宋_GBK" w:cs="方正仿宋_GBK"/>
          <w:color w:val="auto"/>
          <w:sz w:val="32"/>
          <w:szCs w:val="32"/>
          <w:shd w:val="clear" w:color="auto" w:fill="FFFFFF"/>
        </w:rPr>
        <w:t>。</w:t>
      </w:r>
    </w:p>
    <w:p>
      <w:pPr>
        <w:rPr>
          <w:color w:val="auto"/>
        </w:rPr>
      </w:pPr>
    </w:p>
    <w:sectPr>
      <w:headerReference r:id="rId3" w:type="default"/>
      <w:footerReference r:id="rId4"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0B183B"/>
    <w:multiLevelType w:val="singleLevel"/>
    <w:tmpl w:val="940B183B"/>
    <w:lvl w:ilvl="0" w:tentative="0">
      <w:start w:val="3"/>
      <w:numFmt w:val="chineseCounting"/>
      <w:suff w:val="nothing"/>
      <w:lvlText w:val="（%1）"/>
      <w:lvlJc w:val="left"/>
      <w:rPr>
        <w:rFonts w:hint="eastAsia"/>
      </w:rPr>
    </w:lvl>
  </w:abstractNum>
  <w:abstractNum w:abstractNumId="1">
    <w:nsid w:val="B6295C7A"/>
    <w:multiLevelType w:val="singleLevel"/>
    <w:tmpl w:val="B6295C7A"/>
    <w:lvl w:ilvl="0" w:tentative="0">
      <w:start w:val="2"/>
      <w:numFmt w:val="chineseCounting"/>
      <w:suff w:val="nothing"/>
      <w:lvlText w:val="（%1）"/>
      <w:lvlJc w:val="left"/>
      <w:rPr>
        <w:rFonts w:hint="eastAsia"/>
      </w:rPr>
    </w:lvl>
  </w:abstractNum>
  <w:abstractNum w:abstractNumId="2">
    <w:nsid w:val="C5339A02"/>
    <w:multiLevelType w:val="singleLevel"/>
    <w:tmpl w:val="C5339A02"/>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2139CC"/>
    <w:rsid w:val="3A07541A"/>
    <w:rsid w:val="4BBB7D53"/>
    <w:rsid w:val="65401AC7"/>
    <w:rsid w:val="7BB97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Normal (Web)"/>
    <w:basedOn w:val="1"/>
    <w:unhideWhenUsed/>
    <w:qFormat/>
    <w:uiPriority w:val="0"/>
    <w:pPr>
      <w:spacing w:before="100" w:beforeAutospacing="1" w:after="100" w:afterAutospacing="1"/>
    </w:pPr>
  </w:style>
  <w:style w:type="character" w:styleId="6">
    <w:name w:val="Strong"/>
    <w:qFormat/>
    <w:uiPriority w:val="0"/>
    <w:rPr>
      <w:b/>
    </w:rPr>
  </w:style>
  <w:style w:type="paragraph" w:customStyle="1" w:styleId="8">
    <w:name w:val="列出段落1"/>
    <w:basedOn w:val="1"/>
    <w:qFormat/>
    <w:uiPriority w:val="99"/>
    <w:pPr>
      <w:ind w:firstLine="420" w:firstLineChars="200"/>
    </w:pPr>
    <w:rPr>
      <w:rFonts w:hint="default"/>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Administrator.BF-20211207PWKQ</dc:creator>
  <cp:lastModifiedBy>Administrator</cp:lastModifiedBy>
  <dcterms:modified xsi:type="dcterms:W3CDTF">2024-10-21T07:39:35Z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