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djustRightInd/>
        <w:spacing w:line="240" w:lineRule="auto"/>
        <w:rPr>
          <w:rFonts w:ascii="方正仿宋_GBK" w:hAnsi="方正仿宋_GBK" w:cs="方正仿宋_GBK"/>
          <w:bCs/>
        </w:rPr>
      </w:pPr>
    </w:p>
    <w:p>
      <w:pPr>
        <w:overflowPunct w:val="0"/>
        <w:adjustRightInd/>
        <w:spacing w:line="240" w:lineRule="auto"/>
        <w:rPr>
          <w:rFonts w:ascii="方正仿宋_GBK" w:hAnsi="方正仿宋_GBK" w:cs="方正仿宋_GBK"/>
          <w:bCs/>
        </w:rPr>
      </w:pPr>
    </w:p>
    <w:p>
      <w:pPr>
        <w:overflowPunct w:val="0"/>
        <w:adjustRightInd/>
        <w:spacing w:line="240" w:lineRule="auto"/>
        <w:rPr>
          <w:rFonts w:ascii="方正仿宋_GBK" w:hAnsi="方正仿宋_GBK" w:cs="方正仿宋_GBK"/>
          <w:bCs/>
        </w:rPr>
      </w:pPr>
    </w:p>
    <w:p>
      <w:pPr>
        <w:overflowPunct w:val="0"/>
        <w:adjustRightInd/>
        <w:spacing w:line="240" w:lineRule="auto"/>
        <w:rPr>
          <w:bCs/>
        </w:rPr>
      </w:pPr>
    </w:p>
    <w:p>
      <w:pPr>
        <w:overflowPunct w:val="0"/>
        <w:adjustRightInd/>
        <w:spacing w:line="240" w:lineRule="auto"/>
        <w:rPr>
          <w:bCs/>
        </w:rPr>
      </w:pPr>
    </w:p>
    <w:p>
      <w:pPr>
        <w:overflowPunct w:val="0"/>
        <w:adjustRightInd/>
        <w:spacing w:line="240" w:lineRule="auto"/>
        <w:jc w:val="center"/>
        <w:rPr>
          <w:rFonts w:eastAsia="宋体"/>
          <w:kern w:val="2"/>
        </w:rPr>
      </w:pPr>
    </w:p>
    <w:p>
      <w:pPr>
        <w:adjustRightInd/>
        <w:spacing w:line="240" w:lineRule="auto"/>
        <w:jc w:val="center"/>
        <w:rPr>
          <w:i/>
          <w:iCs/>
        </w:rPr>
      </w:pPr>
    </w:p>
    <w:p>
      <w:pPr>
        <w:adjustRightInd/>
        <w:spacing w:line="240" w:lineRule="auto"/>
        <w:jc w:val="center"/>
        <w:rPr>
          <w:rFonts w:eastAsia="宋体"/>
          <w:bCs/>
          <w:iCs/>
        </w:rPr>
      </w:pPr>
      <w:bookmarkStart w:id="0" w:name="approveNum"/>
      <w:r>
        <w:rPr>
          <w:rFonts w:hint="eastAsia" w:ascii="Times New Roman" w:hAnsi="Times New Roman" w:cs="Times New Roman"/>
        </w:rPr>
        <w:t>綦发改审批</w:t>
      </w:r>
      <w:r>
        <w:rPr>
          <w:rFonts w:ascii="Times New Roman" w:hAnsi="Times New Roman" w:cs="Times New Roman"/>
        </w:rPr>
        <w:t>〔2025〕290号</w:t>
      </w:r>
      <w:bookmarkEnd w:id="0"/>
    </w:p>
    <w:p>
      <w:pPr>
        <w:overflowPunct w:val="0"/>
        <w:adjustRightInd/>
        <w:spacing w:line="240" w:lineRule="auto"/>
        <w:rPr>
          <w:bCs/>
        </w:rPr>
      </w:pPr>
    </w:p>
    <w:p>
      <w:pPr>
        <w:overflowPunct w:val="0"/>
        <w:adjustRightInd/>
        <w:spacing w:line="240" w:lineRule="auto"/>
      </w:pPr>
    </w:p>
    <w:p>
      <w:pPr>
        <w:overflowPunct w:val="0"/>
        <w:adjustRightInd/>
        <w:spacing w:line="580" w:lineRule="exact"/>
        <w:jc w:val="center"/>
        <w:rPr>
          <w:rFonts w:eastAsia="方正小标宋_GBK" w:cs="方正小标宋_GBK"/>
          <w:bCs/>
          <w:color w:val="000000"/>
          <w:sz w:val="44"/>
          <w:szCs w:val="44"/>
        </w:rPr>
      </w:pPr>
      <w:bookmarkStart w:id="1" w:name="approveUnit"/>
      <w:r>
        <w:rPr>
          <w:rFonts w:eastAsia="方正小标宋_GBK" w:cs="方正小标宋_GBK"/>
          <w:bCs/>
          <w:color w:val="000000"/>
          <w:sz w:val="44"/>
          <w:szCs w:val="44"/>
        </w:rPr>
        <w:t>重庆市綦江区发展和改革委员会</w:t>
      </w:r>
      <w:bookmarkEnd w:id="1"/>
    </w:p>
    <w:p>
      <w:pPr>
        <w:overflowPunct w:val="0"/>
        <w:adjustRightInd/>
        <w:spacing w:line="580" w:lineRule="exact"/>
        <w:jc w:val="center"/>
        <w:rPr>
          <w:rFonts w:eastAsia="方正小标宋_GBK" w:cs="方正小标宋_GBK"/>
          <w:bCs/>
          <w:color w:val="000000"/>
          <w:sz w:val="44"/>
          <w:szCs w:val="44"/>
        </w:rPr>
      </w:pPr>
      <w:r>
        <w:rPr>
          <w:rFonts w:hint="eastAsia" w:eastAsia="方正小标宋_GBK" w:cs="方正小标宋_GBK"/>
          <w:bCs/>
          <w:color w:val="000000"/>
          <w:sz w:val="44"/>
          <w:szCs w:val="44"/>
        </w:rPr>
        <w:t>关于</w:t>
      </w:r>
      <w:bookmarkStart w:id="2" w:name="projectName"/>
      <w:r>
        <w:rPr>
          <w:rFonts w:eastAsia="方正小标宋_GBK" w:cs="方正小标宋_GBK"/>
          <w:bCs/>
          <w:color w:val="000000"/>
          <w:sz w:val="44"/>
          <w:szCs w:val="44"/>
        </w:rPr>
        <w:t>珠滩水电站生态机组工程</w:t>
      </w:r>
      <w:bookmarkEnd w:id="2"/>
      <w:r>
        <w:rPr>
          <w:rFonts w:hint="eastAsia" w:eastAsia="方正小标宋_GBK" w:cs="方正小标宋_GBK"/>
          <w:bCs/>
          <w:color w:val="000000"/>
          <w:sz w:val="44"/>
          <w:szCs w:val="44"/>
        </w:rPr>
        <w:t>核准的批复</w:t>
      </w:r>
    </w:p>
    <w:p>
      <w:pPr>
        <w:overflowPunct w:val="0"/>
        <w:adjustRightInd/>
        <w:spacing w:line="240" w:lineRule="auto"/>
        <w:rPr>
          <w:rFonts w:eastAsia="方正小标宋_GBK" w:cs="方正小标宋_GBK"/>
          <w:bCs/>
          <w:color w:val="000000"/>
          <w:kern w:val="2"/>
          <w:sz w:val="44"/>
          <w:szCs w:val="44"/>
        </w:rPr>
      </w:pPr>
    </w:p>
    <w:p>
      <w:pPr>
        <w:overflowPunct w:val="0"/>
        <w:adjustRightInd/>
        <w:spacing w:line="240" w:lineRule="auto"/>
        <w:rPr>
          <w:rFonts w:cs="方正仿宋_GBK"/>
          <w:color w:val="000000"/>
          <w:kern w:val="2"/>
        </w:rPr>
      </w:pPr>
      <w:bookmarkStart w:id="3" w:name="projectDept"/>
      <w:r>
        <w:rPr>
          <w:rFonts w:cs="方正仿宋_GBK"/>
          <w:color w:val="000000"/>
          <w:kern w:val="2"/>
        </w:rPr>
        <w:t>綦江县水之星水力发电有限公司</w:t>
      </w:r>
      <w:bookmarkEnd w:id="3"/>
      <w:r>
        <w:rPr>
          <w:rFonts w:hint="eastAsia" w:cs="方正仿宋_GBK"/>
          <w:color w:val="000000"/>
          <w:kern w:val="2"/>
        </w:rPr>
        <w:t>：</w:t>
      </w:r>
    </w:p>
    <w:p>
      <w:pPr>
        <w:overflowPunct w:val="0"/>
        <w:adjustRightInd/>
        <w:spacing w:line="240" w:lineRule="auto"/>
        <w:ind w:firstLine="632" w:firstLineChars="200"/>
        <w:rPr>
          <w:rFonts w:cs="方正仿宋_GBK"/>
          <w:color w:val="000000"/>
          <w:kern w:val="2"/>
        </w:rPr>
      </w:pPr>
      <w:r>
        <w:rPr>
          <w:rFonts w:hint="eastAsia" w:cs="方正仿宋_GBK"/>
          <w:color w:val="000000"/>
          <w:kern w:val="2"/>
        </w:rPr>
        <w:t>你单位报来《关于珠滩水电站生态机组工程核准的请示》（綦水之星发〔2025〕18号）及相关材料收悉。根据《重庆市水安全保障“十四五”规划（2021—2025年）》，</w:t>
      </w:r>
      <w:r>
        <w:rPr>
          <w:rFonts w:hint="eastAsia" w:ascii="方正仿宋_GBK" w:cs="方正仿宋_GBK"/>
          <w:color w:val="000000"/>
          <w:kern w:val="2"/>
        </w:rPr>
        <w:t>经</w:t>
      </w:r>
      <w:r>
        <w:rPr>
          <w:rFonts w:hint="eastAsia" w:ascii="方正仿宋_GBK" w:hAnsi="宋体" w:eastAsia="方正仿宋_GBK" w:cs="宋体"/>
          <w:color w:val="000000"/>
          <w:kern w:val="2"/>
        </w:rPr>
        <w:t>研究</w:t>
      </w:r>
      <w:r>
        <w:rPr>
          <w:rFonts w:hint="eastAsia" w:ascii="方正仿宋_GBK" w:cs="方正仿宋_GBK"/>
          <w:color w:val="000000"/>
        </w:rPr>
        <w:t>，</w:t>
      </w:r>
      <w:r>
        <w:rPr>
          <w:rFonts w:hint="eastAsia" w:cs="方正仿宋_GBK"/>
          <w:color w:val="000000"/>
          <w:kern w:val="2"/>
        </w:rPr>
        <w:t>现就项目</w:t>
      </w:r>
      <w:r>
        <w:rPr>
          <w:rFonts w:hint="eastAsia" w:cs="方正仿宋_GBK"/>
          <w:color w:val="000000"/>
        </w:rPr>
        <w:t>核准</w:t>
      </w:r>
      <w:r>
        <w:rPr>
          <w:rFonts w:hint="eastAsia" w:cs="方正仿宋_GBK"/>
          <w:color w:val="000000"/>
          <w:kern w:val="2"/>
        </w:rPr>
        <w:t>事项批复如下：</w:t>
      </w:r>
    </w:p>
    <w:p>
      <w:pPr>
        <w:numPr>
          <w:ilvl w:val="0"/>
          <w:numId w:val="1"/>
        </w:numPr>
        <w:overflowPunct w:val="0"/>
        <w:adjustRightInd/>
        <w:spacing w:line="240" w:lineRule="auto"/>
        <w:ind w:firstLine="632"/>
        <w:rPr>
          <w:rFonts w:cs="方正仿宋_GBK"/>
          <w:color w:val="000000"/>
          <w:kern w:val="2"/>
        </w:rPr>
      </w:pPr>
      <w:r>
        <w:rPr>
          <w:rFonts w:hint="eastAsia" w:cs="方正仿宋_GBK"/>
          <w:color w:val="000000"/>
        </w:rPr>
        <w:t>为充分保证电站生态流量达标泄放，提高水能利用率，增加电站经济收益，减少碳排放，依照《中华人民共和国行政许可法》《企业投资项目核准和备案管理条例》等法律法规，</w:t>
      </w:r>
      <w:bookmarkStart w:id="4" w:name="projectName1"/>
      <w:r>
        <w:rPr>
          <w:rFonts w:hint="eastAsia" w:cs="方正仿宋_GBK"/>
          <w:color w:val="000000"/>
        </w:rPr>
        <w:t>同意实施</w:t>
      </w:r>
      <w:r>
        <w:rPr>
          <w:rFonts w:cs="方正仿宋_GBK"/>
          <w:color w:val="000000"/>
        </w:rPr>
        <w:t>珠滩水电站生态机组工程</w:t>
      </w:r>
      <w:bookmarkEnd w:id="4"/>
      <w:r>
        <w:rPr>
          <w:rFonts w:hint="eastAsia" w:cs="方正仿宋_GBK"/>
          <w:color w:val="000000"/>
        </w:rPr>
        <w:t>项目</w:t>
      </w:r>
      <w:r>
        <w:rPr>
          <w:rFonts w:hint="eastAsia" w:cs="方正仿宋_GBK"/>
          <w:color w:val="000000"/>
          <w:kern w:val="2"/>
        </w:rPr>
        <w:t>。</w:t>
      </w:r>
    </w:p>
    <w:p>
      <w:pPr>
        <w:overflowPunct w:val="0"/>
        <w:adjustRightInd/>
        <w:spacing w:line="240" w:lineRule="auto"/>
        <w:ind w:firstLine="632" w:firstLineChars="200"/>
        <w:rPr>
          <w:rFonts w:cs="方正仿宋_GBK"/>
          <w:color w:val="000000"/>
          <w:kern w:val="2"/>
        </w:rPr>
      </w:pPr>
      <w:r>
        <w:rPr>
          <w:rFonts w:hint="eastAsia" w:cs="方正仿宋_GBK"/>
          <w:color w:val="000000"/>
          <w:kern w:val="2"/>
        </w:rPr>
        <w:t>二、项目代码：</w:t>
      </w:r>
      <w:bookmarkStart w:id="5" w:name="projectCode"/>
      <w:r>
        <w:rPr>
          <w:rFonts w:cs="方正仿宋_GBK"/>
          <w:color w:val="000000"/>
          <w:kern w:val="2"/>
        </w:rPr>
        <w:t>2508-500110-04-01-376731</w:t>
      </w:r>
      <w:bookmarkEnd w:id="5"/>
      <w:r>
        <w:rPr>
          <w:rFonts w:hint="eastAsia" w:cs="方正仿宋_GBK"/>
          <w:color w:val="000000"/>
          <w:kern w:val="2"/>
        </w:rPr>
        <w:t>。</w:t>
      </w:r>
    </w:p>
    <w:p>
      <w:pPr>
        <w:overflowPunct w:val="0"/>
        <w:adjustRightInd/>
        <w:spacing w:line="240" w:lineRule="auto"/>
        <w:ind w:firstLine="632" w:firstLineChars="200"/>
        <w:rPr>
          <w:rFonts w:cs="方正仿宋_GBK"/>
          <w:color w:val="000000"/>
          <w:kern w:val="2"/>
        </w:rPr>
      </w:pPr>
      <w:r>
        <w:rPr>
          <w:rFonts w:hint="eastAsia" w:cs="方正仿宋_GBK"/>
          <w:color w:val="000000"/>
          <w:kern w:val="2"/>
        </w:rPr>
        <w:t>三、项目单位（项目法人名称）：</w:t>
      </w:r>
      <w:bookmarkStart w:id="6" w:name="projectDept1"/>
      <w:r>
        <w:rPr>
          <w:rFonts w:cs="方正仿宋_GBK"/>
          <w:color w:val="000000"/>
          <w:kern w:val="2"/>
        </w:rPr>
        <w:t>綦江县水之星水力发电有限公司</w:t>
      </w:r>
      <w:bookmarkEnd w:id="6"/>
      <w:r>
        <w:rPr>
          <w:rFonts w:hint="eastAsia" w:cs="方正仿宋_GBK"/>
          <w:color w:val="000000"/>
          <w:kern w:val="2"/>
        </w:rPr>
        <w:t>。</w:t>
      </w:r>
    </w:p>
    <w:p>
      <w:pPr>
        <w:overflowPunct w:val="0"/>
        <w:adjustRightInd/>
        <w:spacing w:line="240" w:lineRule="auto"/>
        <w:ind w:firstLine="632" w:firstLineChars="200"/>
        <w:rPr>
          <w:rFonts w:cs="方正仿宋_GBK"/>
          <w:color w:val="000000"/>
          <w:kern w:val="2"/>
        </w:rPr>
      </w:pPr>
      <w:r>
        <w:rPr>
          <w:rFonts w:hint="eastAsia" w:cs="方正仿宋_GBK"/>
          <w:color w:val="000000"/>
          <w:kern w:val="2"/>
        </w:rPr>
        <w:t>四、项目建设地点：</w:t>
      </w:r>
      <w:bookmarkStart w:id="7" w:name="addressDetail"/>
      <w:r>
        <w:rPr>
          <w:rFonts w:cs="方正仿宋_GBK"/>
          <w:color w:val="000000"/>
          <w:kern w:val="2"/>
        </w:rPr>
        <w:t>綦江区篆塘镇珠滩村14社</w:t>
      </w:r>
      <w:bookmarkEnd w:id="7"/>
      <w:r>
        <w:rPr>
          <w:rFonts w:hint="eastAsia" w:cs="方正仿宋_GBK"/>
          <w:color w:val="000000"/>
          <w:kern w:val="2"/>
        </w:rPr>
        <w:t>。</w:t>
      </w:r>
    </w:p>
    <w:p>
      <w:pPr>
        <w:overflowPunct w:val="0"/>
        <w:adjustRightInd/>
        <w:spacing w:line="240" w:lineRule="auto"/>
        <w:ind w:firstLine="632" w:firstLineChars="200"/>
        <w:rPr>
          <w:rFonts w:cs="方正仿宋_GBK"/>
          <w:color w:val="000000"/>
          <w:kern w:val="2"/>
        </w:rPr>
      </w:pPr>
      <w:r>
        <w:rPr>
          <w:rFonts w:hint="eastAsia" w:cs="方正仿宋_GBK"/>
          <w:color w:val="000000"/>
          <w:kern w:val="2"/>
        </w:rPr>
        <w:t>五、项目主要建设内容及规模：</w:t>
      </w:r>
      <w:bookmarkStart w:id="8" w:name="scaleContent"/>
      <w:r>
        <w:rPr>
          <w:rFonts w:cs="方正仿宋_GBK"/>
          <w:color w:val="000000"/>
          <w:kern w:val="2"/>
        </w:rPr>
        <w:t>在已</w:t>
      </w:r>
      <w:r>
        <w:rPr>
          <w:rFonts w:hint="eastAsia" w:cs="方正仿宋_GBK"/>
          <w:color w:val="000000"/>
          <w:kern w:val="2"/>
        </w:rPr>
        <w:t>建</w:t>
      </w:r>
      <w:r>
        <w:rPr>
          <w:rFonts w:cs="方正仿宋_GBK"/>
          <w:color w:val="000000"/>
          <w:kern w:val="2"/>
        </w:rPr>
        <w:t>成的珠滩水电站基础上布置生态机组，增加一台生态机组1.6</w:t>
      </w:r>
      <w:r>
        <w:rPr>
          <w:rFonts w:hint="eastAsia" w:cs="方正仿宋_GBK"/>
          <w:color w:val="000000"/>
          <w:kern w:val="2"/>
        </w:rPr>
        <w:t>兆瓦</w:t>
      </w:r>
      <w:bookmarkEnd w:id="8"/>
      <w:r>
        <w:rPr>
          <w:rFonts w:hint="eastAsia" w:cs="方正仿宋_GBK"/>
          <w:color w:val="000000"/>
          <w:kern w:val="2"/>
        </w:rPr>
        <w:t>。</w:t>
      </w:r>
    </w:p>
    <w:p>
      <w:pPr>
        <w:overflowPunct w:val="0"/>
        <w:adjustRightInd/>
        <w:spacing w:line="240" w:lineRule="auto"/>
        <w:ind w:firstLine="632" w:firstLineChars="200"/>
        <w:rPr>
          <w:rFonts w:cs="方正仿宋_GBK"/>
          <w:color w:val="000000"/>
          <w:kern w:val="2"/>
        </w:rPr>
      </w:pPr>
      <w:r>
        <w:rPr>
          <w:rFonts w:hint="eastAsia" w:cs="方正仿宋_GBK"/>
          <w:color w:val="000000"/>
          <w:kern w:val="2"/>
        </w:rPr>
        <w:t>六、项目总投资估算为3100万元，其中：自筹资金1000万元、占32%，银行贷款2100</w:t>
      </w:r>
      <w:r>
        <w:rPr>
          <w:rFonts w:hint="eastAsia" w:cs="方正仿宋_GBK"/>
          <w:color w:val="000000"/>
          <w:kern w:val="2"/>
          <w:lang w:eastAsia="zh-CN"/>
        </w:rPr>
        <w:t>万</w:t>
      </w:r>
      <w:r>
        <w:rPr>
          <w:rFonts w:hint="eastAsia" w:cs="方正仿宋_GBK"/>
          <w:color w:val="000000"/>
          <w:kern w:val="2"/>
        </w:rPr>
        <w:t>元、占68%。</w:t>
      </w:r>
      <w:bookmarkStart w:id="10" w:name="_GoBack"/>
      <w:bookmarkEnd w:id="10"/>
    </w:p>
    <w:p>
      <w:pPr>
        <w:overflowPunct w:val="0"/>
        <w:adjustRightInd/>
        <w:spacing w:line="240" w:lineRule="auto"/>
        <w:ind w:firstLine="632" w:firstLineChars="200"/>
        <w:rPr>
          <w:rFonts w:cs="方正仿宋_GBK"/>
          <w:color w:val="000000"/>
          <w:kern w:val="2"/>
        </w:rPr>
      </w:pPr>
      <w:r>
        <w:rPr>
          <w:rFonts w:hint="eastAsia" w:cs="方正仿宋_GBK"/>
          <w:color w:val="000000"/>
          <w:kern w:val="2"/>
        </w:rPr>
        <w:t>七、本项目招标范围为施工及与工程建设有关的重要设备。招标方式为公开招标，招标组织形式为委托招标。</w:t>
      </w:r>
    </w:p>
    <w:p>
      <w:pPr>
        <w:overflowPunct w:val="0"/>
        <w:adjustRightInd/>
        <w:spacing w:line="240" w:lineRule="auto"/>
        <w:ind w:firstLine="632" w:firstLineChars="200"/>
        <w:rPr>
          <w:rFonts w:cs="方正仿宋_GBK"/>
          <w:color w:val="000000"/>
        </w:rPr>
      </w:pPr>
      <w:r>
        <w:rPr>
          <w:rFonts w:hint="eastAsia" w:cs="方正仿宋_GBK"/>
          <w:color w:val="000000"/>
          <w:kern w:val="2"/>
        </w:rPr>
        <w:t>八、根据綦江区规划和自然资源局《关于珠滩水电站生态机组工程是否需要办理用地预审与选址意见书的复函》，本项目不需办理用地预审与选址意见书。</w:t>
      </w:r>
    </w:p>
    <w:p>
      <w:pPr>
        <w:overflowPunct w:val="0"/>
        <w:adjustRightInd/>
        <w:spacing w:line="240" w:lineRule="auto"/>
        <w:ind w:firstLine="632" w:firstLineChars="200"/>
        <w:rPr>
          <w:rFonts w:cs="方正仿宋_GBK"/>
          <w:color w:val="000000"/>
          <w:kern w:val="2"/>
        </w:rPr>
      </w:pPr>
      <w:r>
        <w:rPr>
          <w:rFonts w:hint="eastAsia" w:cs="方正仿宋_GBK"/>
          <w:color w:val="000000"/>
          <w:kern w:val="2"/>
        </w:rPr>
        <w:t>九、如需对本项目核准文件所规定的有关内容进行调整，请你公司按照《企业投资项目核准和备案管理条例》，及时以书面形式向我委提出申请，我委将根据项目具体情况，出具书面确认意见或者重新办理核准手续。未经我委同意，不得违规变更建设内容。</w:t>
      </w:r>
    </w:p>
    <w:p>
      <w:pPr>
        <w:overflowPunct w:val="0"/>
        <w:adjustRightInd/>
        <w:spacing w:line="240" w:lineRule="auto"/>
        <w:ind w:firstLine="632" w:firstLineChars="200"/>
        <w:rPr>
          <w:rFonts w:cs="方正仿宋_GBK"/>
          <w:color w:val="000000"/>
          <w:kern w:val="2"/>
        </w:rPr>
      </w:pPr>
      <w:r>
        <w:rPr>
          <w:rFonts w:hint="eastAsia" w:cs="方正仿宋_GBK"/>
          <w:color w:val="000000"/>
          <w:kern w:val="2"/>
        </w:rPr>
        <w:t>十、请项目单位根据本核准文件，在项目开工建设前，依据相关法律、行政法规申请办理资源利用、安全生产、环境影响评价、工程质量监督等相关手续。</w:t>
      </w:r>
    </w:p>
    <w:p>
      <w:pPr>
        <w:overflowPunct w:val="0"/>
        <w:adjustRightInd/>
        <w:spacing w:line="240" w:lineRule="auto"/>
        <w:ind w:firstLine="632" w:firstLineChars="200"/>
        <w:rPr>
          <w:rFonts w:cs="方正仿宋_GBK"/>
          <w:color w:val="000000"/>
        </w:rPr>
      </w:pPr>
      <w:r>
        <w:rPr>
          <w:rFonts w:hint="eastAsia" w:cs="方正仿宋_GBK"/>
          <w:color w:val="000000"/>
          <w:kern w:val="2"/>
        </w:rPr>
        <w:t>十一、本核准文件自印发之日起有效期限2年。在核准文件有效期内未开工建设的，项目单位应在核准文件有效期届满前的30个工作日之前向我委申请延期。项目在核准文件有效期内未开工建设也未按规定申请延期的，或虽提出延期申请但未获批准的，本核准文件自动失效。</w:t>
      </w:r>
    </w:p>
    <w:p>
      <w:pPr>
        <w:overflowPunct w:val="0"/>
        <w:adjustRightInd/>
        <w:spacing w:line="240" w:lineRule="auto"/>
        <w:textAlignment w:val="auto"/>
        <w:rPr>
          <w:rFonts w:cs="方正仿宋_GBK"/>
          <w:kern w:val="2"/>
        </w:rPr>
      </w:pPr>
    </w:p>
    <w:p>
      <w:pPr>
        <w:pStyle w:val="2"/>
      </w:pPr>
    </w:p>
    <w:p>
      <w:pPr>
        <w:tabs>
          <w:tab w:val="left" w:pos="8760"/>
        </w:tabs>
        <w:overflowPunct w:val="0"/>
        <w:adjustRightInd/>
        <w:spacing w:line="240" w:lineRule="auto"/>
        <w:jc w:val="right"/>
        <w:rPr>
          <w:rFonts w:cs="方正仿宋_GBK"/>
          <w:color w:val="000000"/>
          <w:kern w:val="2"/>
        </w:rPr>
      </w:pPr>
      <w:bookmarkStart w:id="9" w:name="approveUnit1"/>
      <w:r>
        <w:rPr>
          <w:rFonts w:cs="方正仿宋_GBK"/>
          <w:color w:val="000000"/>
          <w:kern w:val="2"/>
        </w:rPr>
        <w:t>重庆市綦江区发展和改革委员会</w:t>
      </w:r>
      <w:bookmarkEnd w:id="9"/>
    </w:p>
    <w:p>
      <w:pPr>
        <w:overflowPunct w:val="0"/>
        <w:adjustRightInd/>
        <w:spacing w:line="240" w:lineRule="auto"/>
        <w:ind w:firstLine="5372" w:firstLineChars="1700"/>
        <w:rPr>
          <w:rFonts w:cs="方正仿宋_GBK"/>
          <w:color w:val="000000"/>
          <w:kern w:val="2"/>
        </w:rPr>
      </w:pPr>
      <w:r>
        <w:rPr>
          <w:rFonts w:hint="eastAsia" w:cs="方正仿宋_GBK"/>
          <w:color w:val="000000"/>
          <w:kern w:val="2"/>
        </w:rPr>
        <w:t>2025年</w:t>
      </w:r>
      <w:r>
        <w:rPr>
          <w:rFonts w:hint="eastAsia" w:cs="方正仿宋_GBK"/>
          <w:color w:val="000000"/>
          <w:kern w:val="2"/>
          <w:lang w:val="en-US" w:eastAsia="zh-CN"/>
        </w:rPr>
        <w:t>9</w:t>
      </w:r>
      <w:r>
        <w:rPr>
          <w:rFonts w:hint="eastAsia" w:cs="方正仿宋_GBK"/>
          <w:color w:val="000000"/>
          <w:kern w:val="2"/>
        </w:rPr>
        <w:t>月2</w:t>
      </w:r>
      <w:r>
        <w:rPr>
          <w:rFonts w:hint="eastAsia" w:cs="方正仿宋_GBK"/>
          <w:color w:val="000000"/>
          <w:kern w:val="2"/>
          <w:lang w:eastAsia="zh"/>
        </w:rPr>
        <w:t>9</w:t>
      </w:r>
      <w:r>
        <w:rPr>
          <w:rFonts w:hint="eastAsia" w:cs="方正仿宋_GBK"/>
          <w:color w:val="000000"/>
          <w:kern w:val="2"/>
        </w:rPr>
        <w:t xml:space="preserve">日        </w:t>
      </w:r>
    </w:p>
    <w:p>
      <w:pPr>
        <w:overflowPunct w:val="0"/>
        <w:adjustRightInd/>
        <w:spacing w:line="240" w:lineRule="auto"/>
        <w:ind w:firstLine="632" w:firstLineChars="200"/>
        <w:rPr>
          <w:rFonts w:hint="eastAsia" w:eastAsia="方正仿宋_GBK" w:cs="方正仿宋_GBK"/>
          <w:color w:val="000000"/>
          <w:kern w:val="2"/>
          <w:lang w:eastAsia="zh"/>
        </w:rPr>
      </w:pPr>
      <w:r>
        <w:rPr>
          <w:rFonts w:hint="eastAsia" w:cs="方正仿宋_GBK"/>
          <w:color w:val="000000"/>
          <w:kern w:val="2"/>
          <w:lang w:eastAsia="zh"/>
        </w:rPr>
        <w:t>（此件公开发布）</w:t>
      </w:r>
    </w:p>
    <w:p>
      <w:pPr>
        <w:overflowPunct w:val="0"/>
        <w:adjustRightInd/>
        <w:spacing w:line="240" w:lineRule="auto"/>
        <w:rPr>
          <w:rFonts w:cs="方正仿宋_GBK"/>
          <w:color w:val="000000"/>
          <w:kern w:val="2"/>
        </w:rPr>
      </w:pPr>
    </w:p>
    <w:p>
      <w:pPr>
        <w:overflowPunct w:val="0"/>
        <w:adjustRightInd/>
        <w:spacing w:line="240" w:lineRule="auto"/>
        <w:rPr>
          <w:rFonts w:cs="方正仿宋_GBK"/>
          <w:color w:val="000000"/>
          <w:kern w:val="2"/>
        </w:rPr>
      </w:pPr>
    </w:p>
    <w:p>
      <w:pPr>
        <w:overflowPunct w:val="0"/>
        <w:adjustRightInd/>
        <w:spacing w:line="240" w:lineRule="auto"/>
        <w:rPr>
          <w:rFonts w:cs="方正仿宋_GBK"/>
          <w:color w:val="000000"/>
          <w:kern w:val="2"/>
        </w:rPr>
      </w:pPr>
    </w:p>
    <w:p>
      <w:pPr>
        <w:overflowPunct w:val="0"/>
        <w:adjustRightInd/>
        <w:spacing w:line="240" w:lineRule="auto"/>
        <w:rPr>
          <w:rFonts w:cs="方正仿宋_GBK"/>
          <w:color w:val="000000"/>
          <w:kern w:val="2"/>
        </w:rPr>
      </w:pPr>
    </w:p>
    <w:p>
      <w:pPr>
        <w:overflowPunct w:val="0"/>
        <w:adjustRightInd/>
        <w:spacing w:line="240" w:lineRule="auto"/>
        <w:rPr>
          <w:rFonts w:cs="方正仿宋_GBK"/>
          <w:color w:val="000000"/>
          <w:kern w:val="2"/>
        </w:rPr>
      </w:pPr>
    </w:p>
    <w:p>
      <w:pPr>
        <w:overflowPunct w:val="0"/>
        <w:adjustRightInd/>
        <w:spacing w:line="240" w:lineRule="auto"/>
        <w:rPr>
          <w:rFonts w:cs="方正仿宋_GBK"/>
          <w:color w:val="000000"/>
          <w:kern w:val="2"/>
        </w:rPr>
      </w:pPr>
    </w:p>
    <w:p>
      <w:pPr>
        <w:overflowPunct w:val="0"/>
        <w:adjustRightInd/>
        <w:spacing w:line="240" w:lineRule="auto"/>
        <w:rPr>
          <w:rFonts w:cs="方正仿宋_GBK"/>
          <w:color w:val="000000"/>
          <w:kern w:val="2"/>
        </w:rPr>
      </w:pPr>
    </w:p>
    <w:p>
      <w:pPr>
        <w:overflowPunct w:val="0"/>
        <w:adjustRightInd/>
        <w:spacing w:line="240" w:lineRule="auto"/>
        <w:rPr>
          <w:rFonts w:cs="方正仿宋_GBK"/>
          <w:color w:val="000000"/>
          <w:kern w:val="2"/>
        </w:rPr>
      </w:pPr>
    </w:p>
    <w:p>
      <w:pPr>
        <w:overflowPunct w:val="0"/>
        <w:adjustRightInd/>
        <w:spacing w:line="240" w:lineRule="auto"/>
        <w:rPr>
          <w:rFonts w:cs="方正仿宋_GBK"/>
          <w:color w:val="000000"/>
          <w:kern w:val="2"/>
        </w:rPr>
      </w:pPr>
    </w:p>
    <w:p>
      <w:pPr>
        <w:overflowPunct w:val="0"/>
        <w:adjustRightInd/>
        <w:spacing w:line="240" w:lineRule="auto"/>
        <w:rPr>
          <w:rFonts w:cs="方正仿宋_GBK"/>
          <w:color w:val="000000"/>
          <w:kern w:val="2"/>
        </w:rPr>
      </w:pPr>
    </w:p>
    <w:p>
      <w:pPr>
        <w:pStyle w:val="2"/>
        <w:overflowPunct w:val="0"/>
        <w:adjustRightInd/>
        <w:spacing w:line="240" w:lineRule="auto"/>
      </w:pPr>
    </w:p>
    <w:p>
      <w:pPr>
        <w:pStyle w:val="2"/>
        <w:overflowPunct w:val="0"/>
        <w:adjustRightInd/>
        <w:spacing w:line="240" w:lineRule="auto"/>
      </w:pPr>
    </w:p>
    <w:p>
      <w:pPr>
        <w:pStyle w:val="2"/>
        <w:overflowPunct w:val="0"/>
        <w:adjustRightInd/>
        <w:spacing w:line="240" w:lineRule="auto"/>
      </w:pPr>
    </w:p>
    <w:p>
      <w:pPr>
        <w:pStyle w:val="2"/>
        <w:overflowPunct w:val="0"/>
        <w:adjustRightInd/>
        <w:spacing w:line="240" w:lineRule="auto"/>
      </w:pPr>
    </w:p>
    <w:p>
      <w:pPr>
        <w:pStyle w:val="2"/>
        <w:overflowPunct w:val="0"/>
        <w:adjustRightInd/>
        <w:spacing w:line="240" w:lineRule="auto"/>
      </w:pPr>
    </w:p>
    <w:p>
      <w:pPr>
        <w:pStyle w:val="2"/>
        <w:overflowPunct w:val="0"/>
        <w:adjustRightInd/>
        <w:spacing w:line="240" w:lineRule="auto"/>
      </w:pPr>
    </w:p>
    <w:p>
      <w:pPr>
        <w:pStyle w:val="2"/>
        <w:overflowPunct w:val="0"/>
        <w:adjustRightInd/>
        <w:spacing w:line="240" w:lineRule="auto"/>
      </w:pPr>
    </w:p>
    <w:p>
      <w:pPr>
        <w:pStyle w:val="2"/>
        <w:overflowPunct w:val="0"/>
        <w:adjustRightInd/>
        <w:spacing w:line="240" w:lineRule="auto"/>
      </w:pPr>
    </w:p>
    <w:p>
      <w:pPr>
        <w:pStyle w:val="2"/>
        <w:overflowPunct w:val="0"/>
        <w:adjustRightInd/>
        <w:spacing w:line="240" w:lineRule="auto"/>
      </w:pPr>
    </w:p>
    <w:p>
      <w:pPr>
        <w:pStyle w:val="2"/>
        <w:overflowPunct w:val="0"/>
        <w:adjustRightInd/>
        <w:spacing w:line="240" w:lineRule="auto"/>
      </w:pPr>
    </w:p>
    <w:p>
      <w:pPr>
        <w:pStyle w:val="2"/>
        <w:overflowPunct w:val="0"/>
        <w:adjustRightInd/>
        <w:spacing w:line="240" w:lineRule="auto"/>
      </w:pPr>
    </w:p>
    <w:p>
      <w:pPr>
        <w:pStyle w:val="2"/>
        <w:overflowPunct w:val="0"/>
        <w:adjustRightInd/>
        <w:spacing w:line="240" w:lineRule="auto"/>
      </w:pPr>
    </w:p>
    <w:p>
      <w:pPr>
        <w:pStyle w:val="2"/>
        <w:overflowPunct w:val="0"/>
        <w:adjustRightInd/>
        <w:spacing w:line="240" w:lineRule="auto"/>
      </w:pPr>
    </w:p>
    <w:p>
      <w:pPr>
        <w:pStyle w:val="2"/>
        <w:overflowPunct w:val="0"/>
        <w:adjustRightInd/>
        <w:spacing w:line="240" w:lineRule="auto"/>
      </w:pPr>
    </w:p>
    <w:p>
      <w:pPr>
        <w:pStyle w:val="2"/>
        <w:overflowPunct w:val="0"/>
        <w:adjustRightInd/>
        <w:spacing w:line="240" w:lineRule="auto"/>
      </w:pPr>
    </w:p>
    <w:p>
      <w:pPr>
        <w:pStyle w:val="2"/>
        <w:overflowPunct w:val="0"/>
        <w:adjustRightInd/>
        <w:spacing w:line="240" w:lineRule="auto"/>
      </w:pPr>
    </w:p>
    <w:p>
      <w:pPr>
        <w:pStyle w:val="2"/>
        <w:overflowPunct w:val="0"/>
        <w:adjustRightInd/>
        <w:spacing w:line="240" w:lineRule="auto"/>
        <w:rPr>
          <w:rFonts w:cs="方正仿宋_GBK"/>
          <w:color w:val="000000"/>
          <w:kern w:val="2"/>
        </w:rPr>
      </w:pPr>
    </w:p>
    <w:p>
      <w:pPr>
        <w:pStyle w:val="2"/>
        <w:overflowPunct w:val="0"/>
        <w:adjustRightInd/>
        <w:spacing w:line="240" w:lineRule="auto"/>
        <w:rPr>
          <w:rFonts w:cs="方正仿宋_GBK"/>
          <w:color w:val="000000"/>
          <w:kern w:val="2"/>
        </w:rPr>
      </w:pPr>
    </w:p>
    <w:p>
      <w:pPr>
        <w:pStyle w:val="2"/>
        <w:overflowPunct w:val="0"/>
        <w:adjustRightInd/>
        <w:spacing w:line="240" w:lineRule="auto"/>
        <w:rPr>
          <w:rFonts w:cs="方正仿宋_GBK"/>
          <w:color w:val="000000"/>
          <w:kern w:val="2"/>
        </w:rPr>
      </w:pPr>
    </w:p>
    <w:p>
      <w:pPr>
        <w:pStyle w:val="2"/>
        <w:overflowPunct w:val="0"/>
        <w:adjustRightInd/>
        <w:spacing w:line="240" w:lineRule="auto"/>
        <w:rPr>
          <w:rFonts w:cs="方正仿宋_GBK"/>
          <w:color w:val="000000"/>
          <w:kern w:val="2"/>
        </w:rPr>
      </w:pPr>
    </w:p>
    <w:p>
      <w:pPr>
        <w:pStyle w:val="2"/>
        <w:overflowPunct w:val="0"/>
        <w:adjustRightInd/>
        <w:spacing w:line="240" w:lineRule="auto"/>
        <w:rPr>
          <w:rFonts w:cs="方正仿宋_GBK"/>
          <w:color w:val="000000"/>
          <w:kern w:val="2"/>
        </w:rPr>
      </w:pPr>
    </w:p>
    <w:p>
      <w:pPr>
        <w:pStyle w:val="2"/>
        <w:overflowPunct w:val="0"/>
        <w:adjustRightInd/>
        <w:spacing w:line="240" w:lineRule="auto"/>
        <w:rPr>
          <w:rFonts w:cs="方正仿宋_GBK"/>
          <w:color w:val="000000"/>
          <w:kern w:val="2"/>
        </w:rPr>
      </w:pPr>
    </w:p>
    <w:p>
      <w:pPr>
        <w:pStyle w:val="2"/>
        <w:overflowPunct w:val="0"/>
        <w:adjustRightInd/>
        <w:spacing w:line="240" w:lineRule="auto"/>
        <w:rPr>
          <w:rFonts w:cs="方正仿宋_GBK"/>
          <w:color w:val="000000"/>
          <w:kern w:val="2"/>
        </w:rPr>
      </w:pPr>
    </w:p>
    <w:p>
      <w:pPr>
        <w:overflowPunct w:val="0"/>
        <w:adjustRightInd/>
        <w:spacing w:line="240" w:lineRule="auto"/>
        <w:ind w:left="1083" w:leftChars="81" w:hanging="828" w:hangingChars="300"/>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8255</wp:posOffset>
                </wp:positionV>
                <wp:extent cx="5627370" cy="15240"/>
                <wp:effectExtent l="0" t="4445" r="11430" b="10795"/>
                <wp:wrapNone/>
                <wp:docPr id="5" name="直接连接符 5"/>
                <wp:cNvGraphicFramePr/>
                <a:graphic xmlns:a="http://schemas.openxmlformats.org/drawingml/2006/main">
                  <a:graphicData uri="http://schemas.microsoft.com/office/word/2010/wordprocessingShape">
                    <wps:wsp>
                      <wps:cNvCnPr/>
                      <wps:spPr>
                        <a:xfrm>
                          <a:off x="0" y="0"/>
                          <a:ext cx="5627370" cy="15240"/>
                        </a:xfrm>
                        <a:prstGeom prst="line">
                          <a:avLst/>
                        </a:prstGeom>
                        <a:noFill/>
                        <a:ln w="4445" cap="flat" cmpd="sng" algn="ctr">
                          <a:solidFill>
                            <a:srgbClr val="000000"/>
                          </a:solidFill>
                          <a:prstDash val="solid"/>
                        </a:ln>
                        <a:effectLst/>
                      </wps:spPr>
                      <wps:bodyPr/>
                    </wps:wsp>
                  </a:graphicData>
                </a:graphic>
              </wp:anchor>
            </w:drawing>
          </mc:Choice>
          <mc:Fallback>
            <w:pict>
              <v:line id="_x0000_s1026" o:spid="_x0000_s1026" o:spt="20" style="position:absolute;left:0pt;margin-left:0.4pt;margin-top:0.65pt;height:1.2pt;width:443.1pt;z-index:251659264;mso-width-relative:page;mso-height-relative:page;" filled="f" stroked="t" coordsize="21600,21600" o:gfxdata="UEsFBgAAAAAAAAAAAAAAAAAAAAAAAFBLAwQKAAAAAACHTuJAAAAAAAAAAAAAAAAABAAAAGRycy9Q&#10;SwMEFAAAAAgAh07iQN91+DbUAAAABAEAAA8AAABkcnMvZG93bnJldi54bWxNj8FOwzAMhu9IvENk&#10;JG4sHUNt1TWdEAIuSEwMtF29xmsrGqdqsnV7e8wJjvb/6/PncnV2vTrRGDrPBuazBBRx7W3HjYGv&#10;z5e7HFSIyBZ7z2TgQgFW1fVViYX1E3/QaRMbJRAOBRpoYxwKrUPdksMw8wOxZAc/Oowyjo22I04C&#10;d72+T5JUO+xYLrQ40FNL9ffm6AzkO5zWz91j+lA3u/Twfslet+s3Y25v5skSVKRz/CvDr76oQyVO&#10;e39kG1QvDOnJdgFKwjzP5LG9gUUGuir1f/nqB1BLAwQUAAAACACHTuJAtchWuscBAABeAwAADgAA&#10;AGRycy9lMm9Eb2MueG1srVPNjtMwEL4j8Q6W7zRtaXdR1HQPWy0XBJWAB5g6dmLJf/KYpn0JXgCJ&#10;G5w4cudt2H0Mxm7o7sINkcNkxjP5Zr7Pk9XVwRq2lxG1dw2fTaacSSd8q13X8Pfvbp694AwTuBaM&#10;d7LhR4n8av30yWoItZz73ptWRkYgDushNLxPKdRVhaKXFnDig3SUVD5aSBTGrmojDIRuTTWfTi+q&#10;wcc2RC8kIp1uTkm+LvhKSZHeKIUyMdNwmi0VG4vdZVutV1B3EUKvxTgG/MMUFrSjpmeoDSRgH6L+&#10;C8pqET16lSbC28orpYUsHIjNbPoHm7c9BFm4kDgYzjLh/4MVr/fbyHTb8CVnDixd0e2n7z8/frn7&#10;8Zns7bevbJlFGgLWVHvttnGMMGxjZnxQ0eY3cWGHIuzxLKw8JCbocHkxv3x+SfoLys2W80URvrr/&#10;OERML6W3LDsNN9pl3lDD/hUmakilv0vysfM32phyd8axoeGLxYLmF0AbpAwkcm0gTug6zsB0tJoi&#10;xYKI3ug2f51xMHa7axPZHvJ6lCeTpW6PynLrDWB/qiupscy4DCPLoo2TZqVO2mRv59tjkazKEV1i&#10;QR8XLm/Jw5j8h7/F+h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fdfg21AAAAAQBAAAPAAAAAAAA&#10;AAEAIAAAADgAAABkcnMvZG93bnJldi54bWxQSwECFAAUAAAACACHTuJAtchWuscBAABeAwAADgAA&#10;AAAAAAABACAAAAA5AQAAZHJzL2Uyb0RvYy54bWxQSwUGAAAAAAYABgBZAQAAcgUAAAAA&#10;">
                <v:fill on="f" focussize="0,0"/>
                <v:stroke weight="0.35pt" color="#000000" joinstyle="round"/>
                <v:imagedata o:title=""/>
                <o:lock v:ext="edit" aspectratio="f"/>
              </v:line>
            </w:pict>
          </mc:Fallback>
        </mc:AlternateContent>
      </w:r>
      <w:r>
        <w:rPr>
          <w:rFonts w:hint="eastAsia"/>
          <w:sz w:val="28"/>
          <w:szCs w:val="28"/>
        </w:rPr>
        <w:t>抄送：区生态环境局、区水利局、国网綦江供电公司</w:t>
      </w:r>
      <w:r>
        <w:rPr>
          <w:rFonts w:hint="eastAsia"/>
          <w:sz w:val="28"/>
          <w:szCs w:val="28"/>
          <w:lang w:eastAsia="zh-CN"/>
        </w:rPr>
        <w:t>。</w:t>
      </w:r>
    </w:p>
    <w:p>
      <w:pPr>
        <w:spacing w:beforeLines="0" w:afterLines="0" w:line="240" w:lineRule="auto"/>
        <w:jc w:val="left"/>
        <w:rPr>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0</wp:posOffset>
                </wp:positionV>
                <wp:extent cx="5627370" cy="15240"/>
                <wp:effectExtent l="0" t="4445" r="11430" b="10795"/>
                <wp:wrapNone/>
                <wp:docPr id="4" name="直接连接符 4"/>
                <wp:cNvGraphicFramePr/>
                <a:graphic xmlns:a="http://schemas.openxmlformats.org/drawingml/2006/main">
                  <a:graphicData uri="http://schemas.microsoft.com/office/word/2010/wordprocessingShape">
                    <wps:wsp>
                      <wps:cNvCnPr/>
                      <wps:spPr>
                        <a:xfrm>
                          <a:off x="0" y="0"/>
                          <a:ext cx="5627370" cy="15240"/>
                        </a:xfrm>
                        <a:prstGeom prst="line">
                          <a:avLst/>
                        </a:prstGeom>
                        <a:ln w="3175" cap="flat" cmpd="sng">
                          <a:solidFill>
                            <a:srgbClr val="000000"/>
                          </a:solidFill>
                          <a:prstDash val="solid"/>
                          <a:round/>
                          <a:headEnd type="none" w="med" len="med"/>
                          <a:tailEnd type="none" w="med" len="med"/>
                        </a:ln>
                        <a:effectLst/>
                      </wps:spPr>
                      <wps:bodyPr/>
                    </wps:wsp>
                  </a:graphicData>
                </a:graphic>
              </wp:anchor>
            </w:drawing>
          </mc:Choice>
          <mc:Fallback>
            <w:pict>
              <v:line id="_x0000_s1026" o:spid="_x0000_s1026" o:spt="20" style="position:absolute;left:0pt;margin-left:-0.05pt;margin-top:0pt;height:1.2pt;width:443.1pt;z-index:251660288;mso-width-relative:page;mso-height-relative:page;" filled="f" stroked="t" coordsize="21600,21600" o:gfxdata="UEsFBgAAAAAAAAAAAAAAAAAAAAAAAFBLAwQKAAAAAACHTuJAAAAAAAAAAAAAAAAABAAAAGRycy9Q&#10;SwMEFAAAAAgAh07iQKCt3vTUAAAABAEAAA8AAABkcnMvZG93bnJldi54bWxNj0FLw0AUhO+C/2F5&#10;grd2kyIhxLwUEvTQg4JtQb1tk9ckNPs2Zjdt/fc+T3ocZpj5Jl9f7aDONPneMUK8jEAR167puUXY&#10;754XKSgfDDdmcEwI3+RhXdze5CZr3IXf6LwNrZIS9plB6EIYM6193ZE1fulGYvGObrImiJxa3Uzm&#10;IuV20KsoSrQ1PctCZ0aqOqpP29kiBP/+8RrmzVeZlC8V7crP6klvEO/v4ugRVKBr+AvDL76gQyFM&#10;Bzdz49WAsIgliCB/xEzTROQBYfUAusj1f/jiB1BLAwQUAAAACACHTuJAmUspt+IBAACmAwAADgAA&#10;AGRycy9lMm9Eb2MueG1srVPNjtMwEL4j8Q6W7zRtt92iqOketiwXBJWAB5jaTmLJf/J4m/YleAEk&#10;bnDiyJ232eUxGLulLHBBiBwmM56Zz/N9mSyv9tawnYqovWv4ZDTmTDnhpXZdw9++uXnylDNM4CQY&#10;71TDDwr51erxo+UQajX1vTdSRUYgDushNLxPKdRVhaJXFnDkg3KUbH20kCiMXSUjDIRuTTUdjy+r&#10;wUcZohcKkU7XxyRfFfy2VSK9altUiZmG02yp2FjsNttqtYS6ixB6LU5jwD9MYUE7uvQMtYYE7Dbq&#10;P6CsFtGjb9NIeFv5ttVCFQ7EZjL+jc3rHoIqXEgcDGeZ8P/Bipe7TWRaNnzGmQNLn+j+/Ze7dx+/&#10;ff1A9v7zJzbLIg0Ba6q9dpt4ijBsYma8b6PNb+LC9kXYw1lYtU9M0OH8crq4WJD+gnKT+XRWhK9+&#10;NoeI6bnylmWn4Ua7zBtq2L3ARBdS6Y+SfGwcGxp+MVnMCRJobVoDiVwbiAi6rvSiN1reaGNyB8Zu&#10;e20i20FehPJkWoT7S1m+ZA3YH+tK6rgi0d86SQ1Q9wrkMydZOgQSy9FW8zyMVZIzo+gnyF6pTKDN&#10;31TSEMZlaFUW9sQ4K37UOHtbLw9F+ipHtAxl9tPi5m17GJP/8Pdaf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WAAAAZHJzL1BLAQIUABQA&#10;AAAIAIdO4kCgrd701AAAAAQBAAAPAAAAAAAAAAEAIAAAADgAAABkcnMvZG93bnJldi54bWxQSwEC&#10;FAAUAAAACACHTuJAmUspt+IBAACmAwAADgAAAAAAAAABACAAAAA5AQAAZHJzL2Uyb0RvYy54bWxQ&#10;SwUGAAAAAAYABgBZAQAAjQUAAAAA&#10;">
                <v:fill on="f" focussize="0,0"/>
                <v:stroke weight="0.25pt" color="#000000" joinstyle="round"/>
                <v:imagedata o:title=""/>
                <o:lock v:ext="edit" aspectratio="f"/>
              </v:line>
            </w:pict>
          </mc:Fallback>
        </mc:AlternateContent>
      </w:r>
      <w:r>
        <w:rPr>
          <w:sz w:val="28"/>
          <w:szCs w:val="28"/>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367665</wp:posOffset>
                </wp:positionV>
                <wp:extent cx="5627370" cy="15240"/>
                <wp:effectExtent l="0" t="4445" r="11430" b="10795"/>
                <wp:wrapNone/>
                <wp:docPr id="3" name="直接连接符 3"/>
                <wp:cNvGraphicFramePr/>
                <a:graphic xmlns:a="http://schemas.openxmlformats.org/drawingml/2006/main">
                  <a:graphicData uri="http://schemas.microsoft.com/office/word/2010/wordprocessingShape">
                    <wps:wsp>
                      <wps:cNvCnPr/>
                      <wps:spPr>
                        <a:xfrm>
                          <a:off x="972185" y="4633595"/>
                          <a:ext cx="5627370" cy="15240"/>
                        </a:xfrm>
                        <a:prstGeom prst="line">
                          <a:avLst/>
                        </a:prstGeom>
                        <a:noFill/>
                        <a:ln w="4445" cap="flat" cmpd="sng" algn="ctr">
                          <a:solidFill>
                            <a:srgbClr val="000000"/>
                          </a:solidFill>
                          <a:prstDash val="solid"/>
                        </a:ln>
                        <a:effectLst/>
                      </wps:spPr>
                      <wps:bodyPr/>
                    </wps:wsp>
                  </a:graphicData>
                </a:graphic>
              </wp:anchor>
            </w:drawing>
          </mc:Choice>
          <mc:Fallback>
            <w:pict>
              <v:line id="_x0000_s1026" o:spid="_x0000_s1026" o:spt="20" style="position:absolute;left:0pt;margin-left:0.3pt;margin-top:28.95pt;height:1.2pt;width:443.1pt;z-index:251660288;mso-width-relative:page;mso-height-relative:page;" filled="f" stroked="t" coordsize="21600,21600" o:gfxdata="UEsFBgAAAAAAAAAAAAAAAAAAAAAAAFBLAwQKAAAAAACHTuJAAAAAAAAAAAAAAAAABAAAAGRycy9Q&#10;SwMEFAAAAAgAh07iQLwi8aPXAAAABgEAAA8AAABkcnMvZG93bnJldi54bWxNj81OwzAQhO9IvIO1&#10;SNyoXX7cEOJUCAEXpFaUqr1u420SEdtR7Dbt27Oc4Dg7o5lvi/nJdeJIQ2yDNzCdKBDkq2BbXxtY&#10;f73dZCBiQm+xC54MnCnCvLy8KDC3YfSfdFylWnCJjzkaaFLqcylj1ZDDOAk9efb2YXCYWA61tAOO&#10;XO46eauUlg5bzwsN9vTSUPW9OjgD2RbH5Wv7rO+reqv3i/PsfbP8MOb6aqqeQCQ6pb8w/OIzOpTM&#10;tAsHb6PoDGjOGXiYPYJgN8s0P7Ljs7oDWRbyP375A1BLAwQUAAAACACHTuJAl8kl+tUBAABpAwAA&#10;DgAAAGRycy9lMm9Eb2MueG1srVPNjtMwEL4j8Q6W7zRt0p/dqOketlouCCoBDzB17MSS/2Sbpn0J&#10;XgCJG5w4cudtdnkMxm72B7ghcpjM2JNv5vtmsr46akUO3AdpTUNnkykl3DDbStM19P27mxcXlIQI&#10;pgVlDW/oiQd6tXn+bD24mpe2t6rlniCICfXgGtrH6OqiCKznGsLEOm7wUlivIWLou6L1MCC6VkU5&#10;nS6LwfrWect4CHi6PV/STcYXgrP4RojAI1ENxd5itj7bfbLFZg1158H1ko1twD90oUEaLPoAtYUI&#10;5IOXf0FpybwNVsQJs7qwQkjGMwdkM5v+weZtD45nLihOcA8yhf8Hy14fdp7ItqEVJQY0juju0/fb&#10;j19+/viM9u7bV1IlkQYXasy9Njs/RsHtfGJ8FF6nN3Ihx4ZersrZxYKSU0Pny6paXC7OGvNjJAzv&#10;F8tyVa1wFAwzZotynmdQPOI4H+JLbjVJTkOVNEkCqOHwKkSsjan3KenY2BupVB6jMmTAqvM5lmeA&#10;yyQURHS1Q3rBdJSA6nBLWfQZMVgl2/R1wgm+218rTw6QNiU/qXGs9ltaKr2F0J/z8tWYpkyC4Xnn&#10;xk6TaGeZkre37SmrV6QI55nRx91LC/M0Rv/pH7L5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Lwi&#10;8aPXAAAABgEAAA8AAAAAAAAAAQAgAAAAOAAAAGRycy9kb3ducmV2LnhtbFBLAQIUABQAAAAIAIdO&#10;4kCXySX61QEAAGkDAAAOAAAAAAAAAAEAIAAAADwBAABkcnMvZTJvRG9jLnhtbFBLBQYAAAAABgAG&#10;AFkBAACDBQAAAAA=&#10;">
                <v:fill on="f" focussize="0,0"/>
                <v:stroke weight="0.35pt" color="#000000" joinstyle="round"/>
                <v:imagedata o:title=""/>
                <o:lock v:ext="edit" aspectratio="f"/>
              </v:line>
            </w:pict>
          </mc:Fallback>
        </mc:AlternateContent>
      </w:r>
      <w:r>
        <w:rPr>
          <w:sz w:val="28"/>
          <w:szCs w:val="28"/>
        </w:rPr>
        <w:t xml:space="preserve"> </w:t>
      </w:r>
      <w:r>
        <w:rPr>
          <w:rFonts w:hint="eastAsia"/>
          <w:sz w:val="28"/>
          <w:szCs w:val="28"/>
          <w:lang w:val="en-US" w:eastAsia="zh-CN"/>
        </w:rPr>
        <w:t xml:space="preserve"> </w:t>
      </w:r>
      <w:r>
        <w:rPr>
          <w:rFonts w:hint="eastAsia"/>
          <w:sz w:val="28"/>
          <w:szCs w:val="28"/>
          <w:lang w:eastAsia="zh"/>
        </w:rPr>
        <w:t>重庆市綦江区发展和改革委员会办公室</w:t>
      </w:r>
      <w:r>
        <w:rPr>
          <w:rFonts w:hint="eastAsia"/>
          <w:sz w:val="28"/>
          <w:szCs w:val="28"/>
        </w:rPr>
        <w:t xml:space="preserve">     </w:t>
      </w:r>
      <w:r>
        <w:rPr>
          <w:sz w:val="28"/>
          <w:szCs w:val="28"/>
        </w:rPr>
        <w:t xml:space="preserve"> </w:t>
      </w:r>
      <w:r>
        <w:rPr>
          <w:rFonts w:hint="eastAsia"/>
          <w:sz w:val="28"/>
          <w:szCs w:val="28"/>
          <w:lang w:val="en-US" w:eastAsia="zh-CN"/>
        </w:rPr>
        <w:t xml:space="preserve"> </w:t>
      </w:r>
      <w:r>
        <w:rPr>
          <w:rFonts w:hint="eastAsia"/>
          <w:sz w:val="28"/>
          <w:szCs w:val="28"/>
        </w:rPr>
        <w:t>20</w:t>
      </w:r>
      <w:r>
        <w:rPr>
          <w:rFonts w:hint="eastAsia"/>
          <w:sz w:val="28"/>
          <w:szCs w:val="28"/>
          <w:lang w:eastAsia="zh"/>
        </w:rPr>
        <w:t>25</w:t>
      </w:r>
      <w:r>
        <w:rPr>
          <w:sz w:val="28"/>
          <w:szCs w:val="28"/>
        </w:rPr>
        <w:t>年</w:t>
      </w:r>
      <w:r>
        <w:rPr>
          <w:rFonts w:hint="eastAsia"/>
          <w:sz w:val="28"/>
          <w:szCs w:val="28"/>
          <w:lang w:eastAsia="zh"/>
        </w:rPr>
        <w:t>9</w:t>
      </w:r>
      <w:r>
        <w:rPr>
          <w:sz w:val="28"/>
          <w:szCs w:val="28"/>
        </w:rPr>
        <w:t>月</w:t>
      </w:r>
      <w:r>
        <w:rPr>
          <w:rFonts w:hint="eastAsia"/>
          <w:sz w:val="28"/>
          <w:szCs w:val="28"/>
          <w:lang w:eastAsia="zh"/>
        </w:rPr>
        <w:t>29</w:t>
      </w:r>
      <w:r>
        <w:rPr>
          <w:sz w:val="28"/>
          <w:szCs w:val="28"/>
        </w:rPr>
        <w:t xml:space="preserve">日印发 </w:t>
      </w:r>
    </w:p>
    <w:sectPr>
      <w:footerReference r:id="rId5" w:type="default"/>
      <w:pgSz w:w="11906" w:h="16838"/>
      <w:pgMar w:top="2098" w:right="1531" w:bottom="1984" w:left="1531" w:header="851" w:footer="1417" w:gutter="0"/>
      <w:cols w:space="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jc w:val="right"/>
      <w:rPr>
        <w:rFonts w:eastAsia="Times New Roman"/>
        <w:sz w:val="18"/>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方正仿宋_GBK"/>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snapToGrid w:val="0"/>
                      <w:rPr>
                        <w:rFonts w:hint="eastAsia" w:eastAsia="方正仿宋_GBK"/>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7E7741"/>
    <w:multiLevelType w:val="singleLevel"/>
    <w:tmpl w:val="ED7E774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NotTrackMoves/>
  <w:documentProtection w:enforcement="0"/>
  <w:defaultTabStop w:val="425"/>
  <w:drawingGridHorizontalSpacing w:val="158"/>
  <w:drawingGridVerticalSpacing w:val="290"/>
  <w:displayHorizontalDrawingGridEvery w:val="0"/>
  <w:displayVerticalDrawingGridEvery w:val="2"/>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1FB"/>
    <w:rsid w:val="00011901"/>
    <w:rsid w:val="00035212"/>
    <w:rsid w:val="00047C9C"/>
    <w:rsid w:val="000A01FB"/>
    <w:rsid w:val="000B24F9"/>
    <w:rsid w:val="000B4A22"/>
    <w:rsid w:val="000C0BF7"/>
    <w:rsid w:val="000C2FB2"/>
    <w:rsid w:val="000C6B28"/>
    <w:rsid w:val="000F25BF"/>
    <w:rsid w:val="001005AC"/>
    <w:rsid w:val="001024AA"/>
    <w:rsid w:val="001056AD"/>
    <w:rsid w:val="00182501"/>
    <w:rsid w:val="00185691"/>
    <w:rsid w:val="001A11CF"/>
    <w:rsid w:val="001B58F6"/>
    <w:rsid w:val="001C40F8"/>
    <w:rsid w:val="001D3042"/>
    <w:rsid w:val="001E64D7"/>
    <w:rsid w:val="001F3B03"/>
    <w:rsid w:val="001F7BBB"/>
    <w:rsid w:val="00200E43"/>
    <w:rsid w:val="002413C4"/>
    <w:rsid w:val="002466FA"/>
    <w:rsid w:val="00250A8A"/>
    <w:rsid w:val="0026530B"/>
    <w:rsid w:val="00266A87"/>
    <w:rsid w:val="00296D93"/>
    <w:rsid w:val="002B04C6"/>
    <w:rsid w:val="002B0AA9"/>
    <w:rsid w:val="002D3B50"/>
    <w:rsid w:val="00301B6D"/>
    <w:rsid w:val="00353975"/>
    <w:rsid w:val="003621E2"/>
    <w:rsid w:val="0038046C"/>
    <w:rsid w:val="00392240"/>
    <w:rsid w:val="00396CAE"/>
    <w:rsid w:val="003B3891"/>
    <w:rsid w:val="003D5F25"/>
    <w:rsid w:val="003E4FE8"/>
    <w:rsid w:val="003E5084"/>
    <w:rsid w:val="003F450B"/>
    <w:rsid w:val="00413264"/>
    <w:rsid w:val="00432433"/>
    <w:rsid w:val="00434D79"/>
    <w:rsid w:val="0045361D"/>
    <w:rsid w:val="00474C3A"/>
    <w:rsid w:val="00496D2E"/>
    <w:rsid w:val="00497F00"/>
    <w:rsid w:val="004A2FB3"/>
    <w:rsid w:val="004B7280"/>
    <w:rsid w:val="004E0474"/>
    <w:rsid w:val="0050535E"/>
    <w:rsid w:val="005122BD"/>
    <w:rsid w:val="005777F4"/>
    <w:rsid w:val="005820AA"/>
    <w:rsid w:val="00583507"/>
    <w:rsid w:val="005A0FB6"/>
    <w:rsid w:val="005C7EAE"/>
    <w:rsid w:val="005F3C4D"/>
    <w:rsid w:val="006042BD"/>
    <w:rsid w:val="006068C6"/>
    <w:rsid w:val="00615E22"/>
    <w:rsid w:val="00650563"/>
    <w:rsid w:val="006854EC"/>
    <w:rsid w:val="00695A79"/>
    <w:rsid w:val="006A30D0"/>
    <w:rsid w:val="006B31C3"/>
    <w:rsid w:val="006C0DE2"/>
    <w:rsid w:val="0072131F"/>
    <w:rsid w:val="00731C1B"/>
    <w:rsid w:val="00737083"/>
    <w:rsid w:val="00765BC9"/>
    <w:rsid w:val="007770A5"/>
    <w:rsid w:val="00794916"/>
    <w:rsid w:val="007D4BF6"/>
    <w:rsid w:val="007F46CB"/>
    <w:rsid w:val="00800B8F"/>
    <w:rsid w:val="00814122"/>
    <w:rsid w:val="00815223"/>
    <w:rsid w:val="00831787"/>
    <w:rsid w:val="0083201E"/>
    <w:rsid w:val="00850D3F"/>
    <w:rsid w:val="00853F77"/>
    <w:rsid w:val="00860A47"/>
    <w:rsid w:val="00891C35"/>
    <w:rsid w:val="008935D1"/>
    <w:rsid w:val="0089677F"/>
    <w:rsid w:val="008A5B13"/>
    <w:rsid w:val="008B74C0"/>
    <w:rsid w:val="008C71A0"/>
    <w:rsid w:val="008F2D5D"/>
    <w:rsid w:val="008F6151"/>
    <w:rsid w:val="009048D5"/>
    <w:rsid w:val="00904AFE"/>
    <w:rsid w:val="009137D3"/>
    <w:rsid w:val="0092122C"/>
    <w:rsid w:val="009220DF"/>
    <w:rsid w:val="00965CCB"/>
    <w:rsid w:val="00972E17"/>
    <w:rsid w:val="00974193"/>
    <w:rsid w:val="0099179E"/>
    <w:rsid w:val="009A5EB0"/>
    <w:rsid w:val="00A2417D"/>
    <w:rsid w:val="00A40C10"/>
    <w:rsid w:val="00A443C1"/>
    <w:rsid w:val="00A955CD"/>
    <w:rsid w:val="00A97B01"/>
    <w:rsid w:val="00AA3D4F"/>
    <w:rsid w:val="00B1777D"/>
    <w:rsid w:val="00B51CD6"/>
    <w:rsid w:val="00B70715"/>
    <w:rsid w:val="00B73014"/>
    <w:rsid w:val="00B833D8"/>
    <w:rsid w:val="00BF0A53"/>
    <w:rsid w:val="00C464A8"/>
    <w:rsid w:val="00C52C75"/>
    <w:rsid w:val="00C57BC1"/>
    <w:rsid w:val="00C6762A"/>
    <w:rsid w:val="00C86C70"/>
    <w:rsid w:val="00C9341C"/>
    <w:rsid w:val="00CA649D"/>
    <w:rsid w:val="00CD4D55"/>
    <w:rsid w:val="00D01740"/>
    <w:rsid w:val="00D40CD2"/>
    <w:rsid w:val="00D536BD"/>
    <w:rsid w:val="00D7295A"/>
    <w:rsid w:val="00D878F1"/>
    <w:rsid w:val="00D902A8"/>
    <w:rsid w:val="00D97CFB"/>
    <w:rsid w:val="00DA0A7F"/>
    <w:rsid w:val="00DB38C2"/>
    <w:rsid w:val="00DC3892"/>
    <w:rsid w:val="00DD2B37"/>
    <w:rsid w:val="00DD4877"/>
    <w:rsid w:val="00DF5D62"/>
    <w:rsid w:val="00E03841"/>
    <w:rsid w:val="00E7080E"/>
    <w:rsid w:val="00E73AC1"/>
    <w:rsid w:val="00E770E1"/>
    <w:rsid w:val="00E93235"/>
    <w:rsid w:val="00EC12DB"/>
    <w:rsid w:val="00ED5B9D"/>
    <w:rsid w:val="00F13A6C"/>
    <w:rsid w:val="00F14A44"/>
    <w:rsid w:val="00F63B69"/>
    <w:rsid w:val="00F63FF8"/>
    <w:rsid w:val="00F97BCF"/>
    <w:rsid w:val="00FA4D84"/>
    <w:rsid w:val="00FA4DBD"/>
    <w:rsid w:val="01A06D82"/>
    <w:rsid w:val="01B25A4D"/>
    <w:rsid w:val="02E56F24"/>
    <w:rsid w:val="03505C66"/>
    <w:rsid w:val="05A52CD4"/>
    <w:rsid w:val="06B95C92"/>
    <w:rsid w:val="078B5EF9"/>
    <w:rsid w:val="07DE0AAA"/>
    <w:rsid w:val="07E960C1"/>
    <w:rsid w:val="09C11BC8"/>
    <w:rsid w:val="0B0939A7"/>
    <w:rsid w:val="0B9E10CF"/>
    <w:rsid w:val="0CF02DEE"/>
    <w:rsid w:val="0E627010"/>
    <w:rsid w:val="0F8141E3"/>
    <w:rsid w:val="101B37DF"/>
    <w:rsid w:val="108924C7"/>
    <w:rsid w:val="11DF3DF6"/>
    <w:rsid w:val="12080E07"/>
    <w:rsid w:val="12C81AA5"/>
    <w:rsid w:val="146C608F"/>
    <w:rsid w:val="1578613D"/>
    <w:rsid w:val="162F7864"/>
    <w:rsid w:val="193D01E0"/>
    <w:rsid w:val="1AB374E2"/>
    <w:rsid w:val="1C932460"/>
    <w:rsid w:val="1D2027D0"/>
    <w:rsid w:val="1D4E12BA"/>
    <w:rsid w:val="1DB00010"/>
    <w:rsid w:val="1DB176D7"/>
    <w:rsid w:val="1E214A6A"/>
    <w:rsid w:val="1F4C00ED"/>
    <w:rsid w:val="1F5A4A37"/>
    <w:rsid w:val="226117B6"/>
    <w:rsid w:val="23445D57"/>
    <w:rsid w:val="23570372"/>
    <w:rsid w:val="23580F2E"/>
    <w:rsid w:val="239A3535"/>
    <w:rsid w:val="253B0B07"/>
    <w:rsid w:val="256B156C"/>
    <w:rsid w:val="25B27047"/>
    <w:rsid w:val="26D83835"/>
    <w:rsid w:val="27F5397D"/>
    <w:rsid w:val="28E03C65"/>
    <w:rsid w:val="2AAB5DE7"/>
    <w:rsid w:val="2AFF29AF"/>
    <w:rsid w:val="2B292E7B"/>
    <w:rsid w:val="2B6540BB"/>
    <w:rsid w:val="2B6F62D5"/>
    <w:rsid w:val="2B8704A8"/>
    <w:rsid w:val="2FB83480"/>
    <w:rsid w:val="30C82935"/>
    <w:rsid w:val="353B7F7E"/>
    <w:rsid w:val="359D56FF"/>
    <w:rsid w:val="35EF5E14"/>
    <w:rsid w:val="37083883"/>
    <w:rsid w:val="38146403"/>
    <w:rsid w:val="384D1637"/>
    <w:rsid w:val="38B97D28"/>
    <w:rsid w:val="39BD3F1B"/>
    <w:rsid w:val="3A1F5203"/>
    <w:rsid w:val="3CB00A31"/>
    <w:rsid w:val="3D584BA2"/>
    <w:rsid w:val="3D6D517E"/>
    <w:rsid w:val="402E288B"/>
    <w:rsid w:val="40C472E3"/>
    <w:rsid w:val="415C39AA"/>
    <w:rsid w:val="417E794A"/>
    <w:rsid w:val="45C30031"/>
    <w:rsid w:val="45E47B16"/>
    <w:rsid w:val="46C95B1B"/>
    <w:rsid w:val="47651902"/>
    <w:rsid w:val="477B47A9"/>
    <w:rsid w:val="481732AA"/>
    <w:rsid w:val="49DC7913"/>
    <w:rsid w:val="4A30398A"/>
    <w:rsid w:val="4A506087"/>
    <w:rsid w:val="4A9F4CF0"/>
    <w:rsid w:val="4AC07792"/>
    <w:rsid w:val="4CE7092E"/>
    <w:rsid w:val="4DED1295"/>
    <w:rsid w:val="4E252DB9"/>
    <w:rsid w:val="5073301F"/>
    <w:rsid w:val="521A3F23"/>
    <w:rsid w:val="545424E6"/>
    <w:rsid w:val="546B0211"/>
    <w:rsid w:val="54E47F11"/>
    <w:rsid w:val="55835057"/>
    <w:rsid w:val="5608415C"/>
    <w:rsid w:val="579E08FE"/>
    <w:rsid w:val="57DB6B64"/>
    <w:rsid w:val="595C3B2F"/>
    <w:rsid w:val="5B485A8C"/>
    <w:rsid w:val="5BC50A62"/>
    <w:rsid w:val="5CDA6175"/>
    <w:rsid w:val="60050F24"/>
    <w:rsid w:val="61263F4D"/>
    <w:rsid w:val="61561366"/>
    <w:rsid w:val="617F70AA"/>
    <w:rsid w:val="632820D0"/>
    <w:rsid w:val="6383212C"/>
    <w:rsid w:val="65E0558A"/>
    <w:rsid w:val="66336438"/>
    <w:rsid w:val="68E8683A"/>
    <w:rsid w:val="694D661D"/>
    <w:rsid w:val="696E3491"/>
    <w:rsid w:val="6AFF5937"/>
    <w:rsid w:val="6C3D2854"/>
    <w:rsid w:val="6C501D6F"/>
    <w:rsid w:val="6E163EDE"/>
    <w:rsid w:val="70D867D7"/>
    <w:rsid w:val="713C370C"/>
    <w:rsid w:val="71A3585F"/>
    <w:rsid w:val="726C3FD1"/>
    <w:rsid w:val="73815F40"/>
    <w:rsid w:val="76B77724"/>
    <w:rsid w:val="7A7973A8"/>
    <w:rsid w:val="7B0C0998"/>
    <w:rsid w:val="7B5C25AB"/>
    <w:rsid w:val="7BAA0A78"/>
    <w:rsid w:val="7C5031A0"/>
    <w:rsid w:val="7CB73744"/>
    <w:rsid w:val="7E707F48"/>
    <w:rsid w:val="7EDD7AD6"/>
    <w:rsid w:val="7EFE1DAF"/>
    <w:rsid w:val="7F3688D4"/>
    <w:rsid w:val="7FBF281F"/>
    <w:rsid w:val="7FC5261C"/>
    <w:rsid w:val="7FDF4948"/>
    <w:rsid w:val="CFF5D2DF"/>
    <w:rsid w:val="DDEF7494"/>
    <w:rsid w:val="F7EF70DB"/>
    <w:rsid w:val="FFBF5DD8"/>
    <w:rsid w:val="FFDED0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rPr>
      <w:sz w:val="28"/>
    </w:rPr>
  </w:style>
  <w:style w:type="paragraph" w:styleId="3">
    <w:name w:val="Balloon Text"/>
    <w:basedOn w:val="1"/>
    <w:semiHidden/>
    <w:qFormat/>
    <w:uiPriority w:val="0"/>
    <w:rPr>
      <w:sz w:val="18"/>
      <w:szCs w:val="18"/>
    </w:rPr>
  </w:style>
  <w:style w:type="paragraph" w:styleId="4">
    <w:name w:val="footer"/>
    <w:basedOn w:val="1"/>
    <w:link w:val="11"/>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6">
    <w:name w:val="Body Text 2"/>
    <w:basedOn w:val="1"/>
    <w:qFormat/>
    <w:uiPriority w:val="0"/>
    <w:pPr>
      <w:spacing w:after="120" w:line="480" w:lineRule="auto"/>
    </w:pPr>
  </w:style>
  <w:style w:type="paragraph" w:styleId="7">
    <w:name w:val="Normal (Web)"/>
    <w:basedOn w:val="1"/>
    <w:qFormat/>
    <w:uiPriority w:val="0"/>
    <w:pPr>
      <w:spacing w:beforeAutospacing="1" w:afterAutospacing="1"/>
      <w:jc w:val="left"/>
    </w:pPr>
    <w:rPr>
      <w:sz w:val="24"/>
    </w:rPr>
  </w:style>
  <w:style w:type="character" w:styleId="10">
    <w:name w:val="page number"/>
    <w:basedOn w:val="9"/>
    <w:qFormat/>
    <w:uiPriority w:val="0"/>
  </w:style>
  <w:style w:type="character" w:customStyle="1" w:styleId="11">
    <w:name w:val="页脚 Char"/>
    <w:link w:val="4"/>
    <w:qFormat/>
    <w:uiPriority w:val="99"/>
    <w:rPr>
      <w:rFonts w:eastAsia="方正仿宋_GBK"/>
      <w:sz w:val="18"/>
      <w:szCs w:val="18"/>
    </w:rPr>
  </w:style>
  <w:style w:type="character" w:customStyle="1" w:styleId="12">
    <w:name w:val="页眉 Char"/>
    <w:link w:val="5"/>
    <w:qFormat/>
    <w:uiPriority w:val="0"/>
    <w:rPr>
      <w:rFonts w:eastAsia="方正仿宋_GBK"/>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jw</Company>
  <Pages>5</Pages>
  <Words>207</Words>
  <Characters>1183</Characters>
  <Lines>9</Lines>
  <Paragraphs>2</Paragraphs>
  <TotalTime>3</TotalTime>
  <ScaleCrop>false</ScaleCrop>
  <LinksUpToDate>false</LinksUpToDate>
  <CharactersWithSpaces>1388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2009-06-07T02:03:00Z</dcterms:created>
  <dc:creator>jw</dc:creator>
  <cp:lastModifiedBy>guest</cp:lastModifiedBy>
  <cp:lastPrinted>2025-09-29T16:18:00Z</cp:lastPrinted>
  <dcterms:modified xsi:type="dcterms:W3CDTF">2025-09-29T17:16:02Z</dcterms:modified>
  <dc:title>批复文件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84251A8DF773F38F4335DA68093B213F_43</vt:lpwstr>
  </property>
  <property fmtid="{D5CDD505-2E9C-101B-9397-08002B2CF9AE}" pid="3" name="KSOProductBuildVer">
    <vt:lpwstr>2052-11.8.2.9958</vt:lpwstr>
  </property>
  <property fmtid="{D5CDD505-2E9C-101B-9397-08002B2CF9AE}" pid="4" name="KSOTemplateDocerSaveRecord">
    <vt:lpwstr>eyJoZGlkIjoiNjRiNTEyNWI0ZmI3MzdmZjhhN2I2NzgxOWE2OTE3ZjAiLCJ1c2VySWQiOiIyMzgzNjIxMzkifQ==</vt:lpwstr>
  </property>
</Properties>
</file>