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pacing w:before="0" w:after="0" w:line="520" w:lineRule="exact"/>
        <w:ind w:left="0" w:leftChars="0" w:right="0"/>
        <w:jc w:val="center"/>
        <w:textAlignment w:val="auto"/>
        <w:outlineLvl w:val="9"/>
        <w:rPr>
          <w:rFonts w:hint="eastAsia" w:ascii="方正仿宋_GBK" w:hAnsi="方正仿宋_GBK" w:eastAsia="方正仿宋_GBK" w:cs="方正仿宋_GBK"/>
          <w:sz w:val="32"/>
          <w:szCs w:val="32"/>
          <w:highlight w:val="none"/>
        </w:rPr>
      </w:pPr>
      <w:bookmarkStart w:id="0" w:name="_GoBack"/>
      <w:r>
        <w:rPr>
          <w:rFonts w:hint="eastAsia" w:ascii="方正仿宋_GBK" w:hAnsi="方正仿宋_GBK" w:eastAsia="方正仿宋_GBK" w:cs="方正仿宋_GBK"/>
          <w:sz w:val="32"/>
          <w:szCs w:val="32"/>
          <w:highlight w:val="none"/>
        </w:rPr>
        <w:t>綦发改</w:t>
      </w:r>
      <w:r>
        <w:rPr>
          <w:rFonts w:hint="eastAsia" w:ascii="方正仿宋_GBK" w:hAnsi="方正仿宋_GBK" w:eastAsia="方正仿宋_GBK" w:cs="方正仿宋_GBK"/>
          <w:sz w:val="32"/>
          <w:szCs w:val="32"/>
          <w:highlight w:val="none"/>
          <w:lang w:eastAsia="zh-CN"/>
        </w:rPr>
        <w:t>审批</w:t>
      </w:r>
      <w:r>
        <w:rPr>
          <w:rFonts w:hint="eastAsia" w:ascii="方正仿宋_GBK" w:hAnsi="方正仿宋_GBK" w:eastAsia="方正仿宋_GBK" w:cs="方正仿宋_GBK"/>
          <w:sz w:val="32"/>
          <w:szCs w:val="32"/>
          <w:highlight w:val="none"/>
        </w:rPr>
        <w:t>〔20</w:t>
      </w:r>
      <w:r>
        <w:rPr>
          <w:rFonts w:hint="eastAsia"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357</w:t>
      </w:r>
      <w:r>
        <w:rPr>
          <w:rFonts w:hint="eastAsia" w:ascii="方正仿宋_GBK" w:hAnsi="方正仿宋_GBK" w:eastAsia="方正仿宋_GBK" w:cs="方正仿宋_GBK"/>
          <w:sz w:val="32"/>
          <w:szCs w:val="32"/>
          <w:highlight w:val="none"/>
        </w:rPr>
        <w:t>号</w:t>
      </w:r>
    </w:p>
    <w:bookmarkEnd w:id="0"/>
    <w:p>
      <w:pPr>
        <w:widowControl w:val="0"/>
        <w:wordWrap/>
        <w:adjustRightInd/>
        <w:spacing w:before="0" w:after="0" w:line="520" w:lineRule="exact"/>
        <w:ind w:left="0" w:leftChars="0" w:right="0"/>
        <w:textAlignment w:val="auto"/>
        <w:outlineLvl w:val="9"/>
        <w:rPr>
          <w:rFonts w:eastAsia="方正小标宋_GBK"/>
          <w:color w:val="000000"/>
          <w:sz w:val="44"/>
          <w:szCs w:val="44"/>
        </w:rPr>
      </w:pPr>
    </w:p>
    <w:p>
      <w:pPr>
        <w:widowControl w:val="0"/>
        <w:wordWrap/>
        <w:adjustRightInd/>
        <w:spacing w:before="0" w:after="0" w:line="520" w:lineRule="exact"/>
        <w:ind w:left="0" w:leftChars="0" w:right="0"/>
        <w:textAlignment w:val="auto"/>
        <w:outlineLvl w:val="9"/>
        <w:rPr>
          <w:rFonts w:eastAsia="方正小标宋_GBK"/>
          <w:color w:val="000000"/>
          <w:sz w:val="44"/>
          <w:szCs w:val="44"/>
        </w:rPr>
      </w:pPr>
    </w:p>
    <w:p>
      <w:pPr>
        <w:widowControl w:val="0"/>
        <w:wordWrap/>
        <w:adjustRightInd/>
        <w:snapToGrid/>
        <w:spacing w:before="0" w:after="0" w:line="520" w:lineRule="exact"/>
        <w:ind w:left="0" w:leftChars="0" w:right="0"/>
        <w:jc w:val="center"/>
        <w:textAlignment w:val="auto"/>
        <w:outlineLvl w:val="9"/>
        <w:rPr>
          <w:rFonts w:eastAsia="方正小标宋_GBK"/>
          <w:color w:val="000000"/>
          <w:sz w:val="44"/>
          <w:szCs w:val="44"/>
        </w:rPr>
      </w:pPr>
      <w:r>
        <w:rPr>
          <w:rFonts w:eastAsia="方正小标宋_GBK"/>
          <w:color w:val="000000"/>
          <w:sz w:val="44"/>
          <w:szCs w:val="44"/>
        </w:rPr>
        <w:t>重庆市綦江区发展和改革委员会</w:t>
      </w:r>
    </w:p>
    <w:p>
      <w:pPr>
        <w:widowControl w:val="0"/>
        <w:wordWrap/>
        <w:adjustRightInd/>
        <w:snapToGrid/>
        <w:spacing w:before="0" w:after="0" w:line="520" w:lineRule="exact"/>
        <w:ind w:left="0" w:leftChars="0" w:right="0"/>
        <w:jc w:val="center"/>
        <w:textAlignment w:val="auto"/>
        <w:outlineLvl w:val="9"/>
        <w:rPr>
          <w:rFonts w:eastAsia="方正小标宋_GBK"/>
          <w:color w:val="000000"/>
          <w:sz w:val="44"/>
          <w:szCs w:val="44"/>
        </w:rPr>
      </w:pPr>
      <w:r>
        <w:rPr>
          <w:rFonts w:hint="eastAsia" w:eastAsia="方正小标宋_GBK"/>
          <w:color w:val="000000"/>
          <w:sz w:val="44"/>
          <w:szCs w:val="44"/>
        </w:rPr>
        <w:t>关于庆江A片区横二路可行性研究报告的批复</w:t>
      </w:r>
    </w:p>
    <w:p>
      <w:pPr>
        <w:widowControl w:val="0"/>
        <w:wordWrap/>
        <w:adjustRightInd/>
        <w:snapToGrid/>
        <w:spacing w:before="0" w:after="0" w:line="520" w:lineRule="exact"/>
        <w:ind w:left="0" w:leftChars="0" w:right="0"/>
        <w:textAlignment w:val="auto"/>
        <w:outlineLvl w:val="9"/>
        <w:rPr>
          <w:rFonts w:eastAsia="方正仿宋_GBK"/>
          <w:sz w:val="32"/>
          <w:szCs w:val="32"/>
        </w:rPr>
      </w:pPr>
    </w:p>
    <w:p>
      <w:pPr>
        <w:widowControl w:val="0"/>
        <w:wordWrap/>
        <w:adjustRightInd/>
        <w:snapToGrid/>
        <w:spacing w:before="0" w:after="0" w:line="520" w:lineRule="exact"/>
        <w:ind w:left="0" w:leftChars="0" w:right="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重庆市綦江区永盛产城建设开发有限公司：</w:t>
      </w:r>
    </w:p>
    <w:p>
      <w:pPr>
        <w:widowControl w:val="0"/>
        <w:wordWrap/>
        <w:adjustRightInd/>
        <w:snapToGrid/>
        <w:spacing w:before="0" w:after="0" w:line="520" w:lineRule="exact"/>
        <w:ind w:left="0" w:leftChars="0" w:right="0" w:firstLine="640" w:firstLineChars="200"/>
        <w:jc w:val="both"/>
        <w:textAlignment w:val="auto"/>
        <w:outlineLvl w:val="9"/>
        <w:rPr>
          <w:rFonts w:hint="eastAsia" w:ascii="方正仿宋_GBK" w:hAnsi="方正仿宋_GBK" w:eastAsia="方正仿宋_GBK" w:cs="方正仿宋_GBK"/>
          <w:color w:val="000000"/>
          <w:sz w:val="32"/>
          <w:szCs w:val="32"/>
          <w:lang w:val="zh-CN"/>
        </w:rPr>
      </w:pPr>
      <w:r>
        <w:rPr>
          <w:rFonts w:hint="eastAsia" w:ascii="方正仿宋_GBK" w:hAnsi="方正仿宋_GBK" w:eastAsia="方正仿宋_GBK" w:cs="方正仿宋_GBK"/>
          <w:color w:val="000000"/>
          <w:sz w:val="32"/>
          <w:szCs w:val="32"/>
          <w:lang w:eastAsia="zh-CN"/>
        </w:rPr>
        <w:t>你单位《关于庆江A片区横二路项目可行性研究报告的请示》（</w:t>
      </w:r>
      <w:r>
        <w:rPr>
          <w:rFonts w:hint="eastAsia" w:ascii="方正仿宋_GBK" w:hAnsi="方正仿宋_GBK" w:eastAsia="方正仿宋_GBK" w:cs="方正仿宋_GBK"/>
          <w:color w:val="000000"/>
          <w:sz w:val="32"/>
          <w:szCs w:val="32"/>
        </w:rPr>
        <w:t>綦</w:t>
      </w:r>
      <w:r>
        <w:rPr>
          <w:rFonts w:hint="eastAsia" w:ascii="方正仿宋_GBK" w:hAnsi="方正仿宋_GBK" w:eastAsia="方正仿宋_GBK" w:cs="方正仿宋_GBK"/>
          <w:color w:val="000000"/>
          <w:sz w:val="32"/>
          <w:szCs w:val="32"/>
          <w:lang w:eastAsia="zh-CN"/>
        </w:rPr>
        <w:t>永盛文</w:t>
      </w:r>
      <w:r>
        <w:rPr>
          <w:rFonts w:hint="eastAsia" w:ascii="方正仿宋_GBK" w:hAnsi="方正仿宋_GBK" w:eastAsia="方正仿宋_GBK" w:cs="方正仿宋_GBK"/>
          <w:color w:val="000000"/>
          <w:sz w:val="32"/>
          <w:szCs w:val="32"/>
        </w:rPr>
        <w:t>〔202</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31</w:t>
      </w:r>
      <w:r>
        <w:rPr>
          <w:rFonts w:hint="eastAsia" w:ascii="方正仿宋_GBK" w:hAnsi="方正仿宋_GBK" w:eastAsia="方正仿宋_GBK" w:cs="方正仿宋_GBK"/>
          <w:color w:val="000000"/>
          <w:sz w:val="32"/>
          <w:szCs w:val="32"/>
        </w:rPr>
        <w:t>号</w:t>
      </w:r>
      <w:r>
        <w:rPr>
          <w:rFonts w:hint="eastAsia" w:ascii="方正仿宋_GBK" w:hAnsi="方正仿宋_GBK" w:eastAsia="方正仿宋_GBK" w:cs="方正仿宋_GBK"/>
          <w:color w:val="000000"/>
          <w:sz w:val="32"/>
          <w:szCs w:val="32"/>
          <w:lang w:eastAsia="zh-CN"/>
        </w:rPr>
        <w:t>）及相</w:t>
      </w:r>
      <w:r>
        <w:rPr>
          <w:rFonts w:hint="eastAsia" w:ascii="方正仿宋_GBK" w:hAnsi="方正仿宋_GBK" w:eastAsia="方正仿宋_GBK" w:cs="方正仿宋_GBK"/>
          <w:color w:val="000000"/>
          <w:sz w:val="32"/>
          <w:szCs w:val="32"/>
        </w:rPr>
        <w:t>关文件收</w:t>
      </w:r>
      <w:r>
        <w:rPr>
          <w:rFonts w:hint="eastAsia" w:ascii="方正仿宋_GBK" w:hAnsi="方正仿宋_GBK" w:eastAsia="方正仿宋_GBK" w:cs="方正仿宋_GBK"/>
          <w:color w:val="000000"/>
          <w:sz w:val="32"/>
          <w:szCs w:val="32"/>
          <w:lang w:eastAsia="zh-CN"/>
        </w:rPr>
        <w:t>悉，根</w:t>
      </w:r>
      <w:r>
        <w:rPr>
          <w:rFonts w:hint="eastAsia" w:ascii="方正仿宋_GBK" w:hAnsi="方正仿宋_GBK" w:eastAsia="方正仿宋_GBK" w:cs="方正仿宋_GBK"/>
          <w:color w:val="000000"/>
          <w:sz w:val="32"/>
          <w:szCs w:val="32"/>
          <w:highlight w:val="none"/>
          <w:lang w:eastAsia="zh-CN"/>
        </w:rPr>
        <w:t>据重庆众樾工程管理咨询有限公司</w:t>
      </w:r>
      <w:r>
        <w:rPr>
          <w:rFonts w:hint="eastAsia" w:ascii="方正仿宋_GBK" w:hAnsi="方正仿宋_GBK" w:eastAsia="方正仿宋_GBK" w:cs="方正仿宋_GBK"/>
          <w:color w:val="000000"/>
          <w:sz w:val="32"/>
          <w:szCs w:val="32"/>
          <w:highlight w:val="none"/>
          <w:lang w:val="zh-CN" w:eastAsia="zh-CN"/>
        </w:rPr>
        <w:t>的</w:t>
      </w:r>
      <w:r>
        <w:rPr>
          <w:rFonts w:hint="eastAsia" w:ascii="方正仿宋_GBK" w:hAnsi="方正仿宋_GBK" w:eastAsia="方正仿宋_GBK" w:cs="方正仿宋_GBK"/>
          <w:color w:val="000000"/>
          <w:sz w:val="32"/>
          <w:szCs w:val="32"/>
          <w:highlight w:val="none"/>
          <w:lang w:eastAsia="zh-CN"/>
        </w:rPr>
        <w:t>评估意</w:t>
      </w:r>
      <w:r>
        <w:rPr>
          <w:rFonts w:hint="eastAsia" w:ascii="方正仿宋_GBK" w:hAnsi="方正仿宋_GBK" w:eastAsia="方正仿宋_GBK" w:cs="方正仿宋_GBK"/>
          <w:color w:val="000000"/>
          <w:sz w:val="32"/>
          <w:szCs w:val="32"/>
          <w:highlight w:val="none"/>
        </w:rPr>
        <w:t>见，经我委研究，</w:t>
      </w:r>
      <w:r>
        <w:rPr>
          <w:rFonts w:hint="eastAsia" w:ascii="方正仿宋_GBK" w:hAnsi="方正仿宋_GBK" w:eastAsia="方正仿宋_GBK" w:cs="方正仿宋_GBK"/>
          <w:color w:val="000000"/>
          <w:sz w:val="32"/>
          <w:szCs w:val="32"/>
          <w:highlight w:val="none"/>
          <w:lang w:eastAsia="zh-CN"/>
        </w:rPr>
        <w:t>原则</w:t>
      </w:r>
      <w:r>
        <w:rPr>
          <w:rFonts w:hint="eastAsia" w:ascii="方正仿宋_GBK" w:hAnsi="方正仿宋_GBK" w:eastAsia="方正仿宋_GBK" w:cs="方正仿宋_GBK"/>
          <w:color w:val="auto"/>
          <w:sz w:val="32"/>
          <w:szCs w:val="32"/>
          <w:highlight w:val="none"/>
          <w:lang w:eastAsia="zh-CN"/>
        </w:rPr>
        <w:t>同意重庆同丰工程管理咨询有限公司编制的该项目可行性</w:t>
      </w:r>
      <w:r>
        <w:rPr>
          <w:rFonts w:hint="eastAsia" w:ascii="方正仿宋_GBK" w:hAnsi="方正仿宋_GBK" w:eastAsia="方正仿宋_GBK" w:cs="方正仿宋_GBK"/>
          <w:color w:val="auto"/>
          <w:sz w:val="32"/>
          <w:szCs w:val="32"/>
          <w:lang w:eastAsia="zh-CN"/>
        </w:rPr>
        <w:t>研究报告</w:t>
      </w:r>
      <w:r>
        <w:rPr>
          <w:rFonts w:hint="eastAsia" w:ascii="方正仿宋_GBK" w:hAnsi="方正仿宋_GBK" w:eastAsia="方正仿宋_GBK" w:cs="方正仿宋_GBK"/>
          <w:color w:val="000000"/>
          <w:sz w:val="32"/>
          <w:szCs w:val="32"/>
          <w:lang w:val="zh-CN"/>
        </w:rPr>
        <w:t xml:space="preserve">，现将有关事项批复如下： </w:t>
      </w:r>
    </w:p>
    <w:p>
      <w:pPr>
        <w:widowControl w:val="0"/>
        <w:numPr>
          <w:ilvl w:val="0"/>
          <w:numId w:val="1"/>
        </w:numPr>
        <w:wordWrap/>
        <w:adjustRightInd/>
        <w:snapToGrid/>
        <w:spacing w:before="0" w:after="0" w:line="520" w:lineRule="exact"/>
        <w:ind w:left="0" w:leftChars="0" w:right="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项目名称：</w:t>
      </w:r>
      <w:r>
        <w:rPr>
          <w:rFonts w:hint="eastAsia" w:ascii="方正仿宋_GBK" w:hAnsi="方正仿宋_GBK" w:eastAsia="方正仿宋_GBK" w:cs="方正仿宋_GBK"/>
          <w:color w:val="000000"/>
          <w:sz w:val="32"/>
          <w:szCs w:val="32"/>
          <w:lang w:eastAsia="zh-CN"/>
        </w:rPr>
        <w:t>庆江A片区横二路</w:t>
      </w:r>
    </w:p>
    <w:p>
      <w:pPr>
        <w:widowControl w:val="0"/>
        <w:numPr>
          <w:ilvl w:val="0"/>
          <w:numId w:val="1"/>
        </w:numPr>
        <w:wordWrap/>
        <w:adjustRightInd/>
        <w:snapToGrid/>
        <w:spacing w:before="0" w:after="0" w:line="520" w:lineRule="exact"/>
        <w:ind w:left="0" w:leftChars="0" w:right="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lang w:eastAsia="zh-CN"/>
        </w:rPr>
        <w:t>项目代码：</w:t>
      </w:r>
      <w:r>
        <w:rPr>
          <w:rFonts w:hint="eastAsia" w:ascii="方正仿宋_GBK" w:hAnsi="方正仿宋_GBK" w:eastAsia="方正仿宋_GBK" w:cs="方正仿宋_GBK"/>
          <w:color w:val="000000"/>
          <w:sz w:val="32"/>
          <w:szCs w:val="32"/>
          <w:lang w:eastAsia="zh-CN"/>
        </w:rPr>
        <w:t>2310-500110-04-01-305367</w:t>
      </w:r>
    </w:p>
    <w:p>
      <w:pPr>
        <w:widowControl w:val="0"/>
        <w:wordWrap/>
        <w:adjustRightInd/>
        <w:snapToGrid/>
        <w:spacing w:before="0" w:after="0" w:line="520" w:lineRule="exact"/>
        <w:ind w:left="0" w:leftChars="0" w:right="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lang w:eastAsia="zh-CN"/>
        </w:rPr>
        <w:t>三</w:t>
      </w:r>
      <w:r>
        <w:rPr>
          <w:rFonts w:hint="eastAsia" w:ascii="方正黑体_GBK" w:hAnsi="方正黑体_GBK" w:eastAsia="方正黑体_GBK" w:cs="方正黑体_GBK"/>
          <w:color w:val="000000"/>
          <w:sz w:val="32"/>
          <w:szCs w:val="32"/>
        </w:rPr>
        <w:t>、项目业主：</w:t>
      </w:r>
      <w:r>
        <w:rPr>
          <w:rFonts w:hint="eastAsia" w:ascii="方正仿宋_GBK" w:hAnsi="方正仿宋_GBK" w:eastAsia="方正仿宋_GBK" w:cs="方正仿宋_GBK"/>
          <w:color w:val="000000"/>
          <w:sz w:val="32"/>
          <w:szCs w:val="32"/>
        </w:rPr>
        <w:t>重庆市綦江区永盛产城建设开发有限公司</w:t>
      </w:r>
    </w:p>
    <w:p>
      <w:pPr>
        <w:widowControl w:val="0"/>
        <w:wordWrap/>
        <w:adjustRightInd/>
        <w:snapToGrid/>
        <w:spacing w:before="0" w:after="0" w:line="520" w:lineRule="exact"/>
        <w:ind w:left="0" w:leftChars="0" w:right="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lang w:eastAsia="zh-CN"/>
        </w:rPr>
        <w:t>四</w:t>
      </w:r>
      <w:r>
        <w:rPr>
          <w:rFonts w:hint="eastAsia" w:ascii="方正黑体_GBK" w:hAnsi="方正黑体_GBK" w:eastAsia="方正黑体_GBK" w:cs="方正黑体_GBK"/>
          <w:color w:val="000000"/>
          <w:sz w:val="32"/>
          <w:szCs w:val="32"/>
        </w:rPr>
        <w:t>、建设地点：</w:t>
      </w:r>
      <w:r>
        <w:rPr>
          <w:rFonts w:hint="eastAsia" w:ascii="方正仿宋_GBK" w:hAnsi="方正仿宋_GBK" w:eastAsia="方正仿宋_GBK" w:cs="方正仿宋_GBK"/>
          <w:sz w:val="32"/>
          <w:szCs w:val="32"/>
          <w:lang w:val="en-US" w:eastAsia="zh-CN"/>
        </w:rPr>
        <w:t>綦江区永城镇</w:t>
      </w:r>
    </w:p>
    <w:p>
      <w:pPr>
        <w:widowControl w:val="0"/>
        <w:wordWrap/>
        <w:adjustRightInd/>
        <w:snapToGrid/>
        <w:spacing w:before="0" w:after="0" w:line="520" w:lineRule="exact"/>
        <w:ind w:left="0" w:leftChars="0" w:right="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color w:val="000000"/>
          <w:sz w:val="32"/>
          <w:szCs w:val="32"/>
          <w:lang w:eastAsia="zh-CN"/>
        </w:rPr>
        <w:t>五</w:t>
      </w:r>
      <w:r>
        <w:rPr>
          <w:rFonts w:hint="eastAsia" w:ascii="方正黑体_GBK" w:hAnsi="方正黑体_GBK" w:eastAsia="方正黑体_GBK" w:cs="方正黑体_GBK"/>
          <w:color w:val="000000"/>
          <w:sz w:val="32"/>
          <w:szCs w:val="32"/>
        </w:rPr>
        <w:t>、规模及主要建设内容：</w:t>
      </w:r>
      <w:r>
        <w:rPr>
          <w:rFonts w:hint="eastAsia" w:ascii="方正仿宋_GBK" w:hAnsi="方正仿宋_GBK" w:eastAsia="方正仿宋_GBK" w:cs="方正仿宋_GBK"/>
          <w:sz w:val="32"/>
          <w:szCs w:val="32"/>
          <w:lang w:val="en-US" w:eastAsia="zh-CN"/>
        </w:rPr>
        <w:t>项目道路总占地面积约17.71亩，位于重庆市綦江区永城镇，起点与既有S207相交，终点与纵三路相交，工程范围道路全长约738m，为城市支路，设计车速30 km/h，标准路幅宽度16m（双向两车道），采用改性沥青砼路面。主要建设内容为道路及道路工程、结构工程、雨污水工程、综合管网工程、绿化工程、照明工程、交通工程及其他附属设施工程。</w:t>
      </w:r>
    </w:p>
    <w:p>
      <w:pPr>
        <w:widowControl w:val="0"/>
        <w:wordWrap/>
        <w:adjustRightInd/>
        <w:snapToGrid/>
        <w:spacing w:before="0" w:after="0" w:line="520" w:lineRule="exact"/>
        <w:ind w:left="0" w:leftChars="0" w:right="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lang w:eastAsia="zh-CN"/>
        </w:rPr>
        <w:t>六</w:t>
      </w:r>
      <w:r>
        <w:rPr>
          <w:rFonts w:hint="eastAsia" w:ascii="方正黑体_GBK" w:hAnsi="方正黑体_GBK" w:eastAsia="方正黑体_GBK" w:cs="方正黑体_GBK"/>
          <w:color w:val="000000"/>
          <w:sz w:val="32"/>
          <w:szCs w:val="32"/>
        </w:rPr>
        <w:t>、总投资：</w:t>
      </w:r>
      <w:r>
        <w:rPr>
          <w:rFonts w:hint="eastAsia" w:ascii="方正仿宋_GBK" w:hAnsi="方正仿宋_GBK" w:eastAsia="方正仿宋_GBK" w:cs="方正仿宋_GBK"/>
          <w:sz w:val="32"/>
          <w:szCs w:val="32"/>
          <w:lang w:val="en-US" w:eastAsia="zh-CN"/>
        </w:rPr>
        <w:t>项目估算总投资为5079.02万元，其中，工程费用3178.08万元，工程建设其他费用1615.23万元（含土地费1221.99万元），预备费285.71万元。</w:t>
      </w:r>
    </w:p>
    <w:p>
      <w:pPr>
        <w:widowControl w:val="0"/>
        <w:wordWrap/>
        <w:adjustRightInd/>
        <w:snapToGrid/>
        <w:spacing w:before="0" w:after="0" w:line="520" w:lineRule="exact"/>
        <w:ind w:left="0" w:leftChars="0" w:right="0" w:firstLine="480" w:firstLineChars="150"/>
        <w:textAlignment w:val="auto"/>
        <w:outlineLvl w:val="9"/>
        <w:rPr>
          <w:rFonts w:hint="eastAsia" w:ascii="方正仿宋_GBK" w:hAnsi="方正仿宋_GBK" w:eastAsia="方正仿宋_GBK" w:cs="方正仿宋_GBK"/>
          <w:color w:val="000000"/>
          <w:sz w:val="32"/>
          <w:szCs w:val="32"/>
        </w:rPr>
      </w:pPr>
      <w:r>
        <w:rPr>
          <w:rStyle w:val="16"/>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color w:val="000000"/>
          <w:sz w:val="32"/>
          <w:szCs w:val="32"/>
          <w:lang w:eastAsia="zh-CN"/>
        </w:rPr>
        <w:t>七</w:t>
      </w:r>
      <w:r>
        <w:rPr>
          <w:rFonts w:hint="eastAsia" w:ascii="方正黑体_GBK" w:hAnsi="方正黑体_GBK" w:eastAsia="方正黑体_GBK" w:cs="方正黑体_GBK"/>
          <w:color w:val="000000"/>
          <w:sz w:val="32"/>
          <w:szCs w:val="32"/>
        </w:rPr>
        <w:t>、建设工期：</w:t>
      </w:r>
      <w:r>
        <w:rPr>
          <w:rFonts w:hint="eastAsia" w:ascii="方正仿宋_GBK" w:hAnsi="方正仿宋_GBK" w:eastAsia="方正仿宋_GBK" w:cs="方正仿宋_GBK"/>
          <w:color w:val="000000"/>
          <w:sz w:val="32"/>
          <w:szCs w:val="32"/>
          <w:lang w:val="en-US" w:eastAsia="zh-CN"/>
        </w:rPr>
        <w:t>12</w:t>
      </w:r>
      <w:r>
        <w:rPr>
          <w:rFonts w:hint="eastAsia" w:ascii="方正仿宋_GBK" w:hAnsi="方正仿宋_GBK" w:eastAsia="方正仿宋_GBK" w:cs="方正仿宋_GBK"/>
          <w:color w:val="000000"/>
          <w:sz w:val="32"/>
          <w:szCs w:val="32"/>
        </w:rPr>
        <w:t>个月。</w:t>
      </w:r>
    </w:p>
    <w:p>
      <w:pPr>
        <w:widowControl w:val="0"/>
        <w:wordWrap/>
        <w:adjustRightInd/>
        <w:snapToGrid/>
        <w:spacing w:before="0" w:after="0" w:line="520" w:lineRule="exact"/>
        <w:ind w:left="0" w:leftChars="0" w:right="0" w:firstLine="640" w:firstLineChars="200"/>
        <w:textAlignment w:val="auto"/>
        <w:outlineLvl w:val="9"/>
        <w:rPr>
          <w:rFonts w:hint="eastAsia" w:ascii="方正仿宋_GBK" w:hAnsi="方正仿宋_GBK" w:eastAsia="方正仿宋_GBK" w:cs="方正仿宋_GBK"/>
          <w:color w:val="000000"/>
          <w:sz w:val="32"/>
          <w:szCs w:val="32"/>
        </w:rPr>
      </w:pPr>
      <w:r>
        <w:rPr>
          <w:rStyle w:val="16"/>
          <w:rFonts w:hint="eastAsia" w:ascii="方正黑体_GBK" w:hAnsi="方正黑体_GBK" w:eastAsia="方正黑体_GBK" w:cs="方正黑体_GBK"/>
          <w:sz w:val="32"/>
          <w:szCs w:val="32"/>
          <w:lang w:eastAsia="zh-CN"/>
        </w:rPr>
        <w:t>八</w:t>
      </w:r>
      <w:r>
        <w:rPr>
          <w:rStyle w:val="16"/>
          <w:rFonts w:hint="eastAsia" w:ascii="方正黑体_GBK" w:hAnsi="方正黑体_GBK" w:eastAsia="方正黑体_GBK" w:cs="方正黑体_GBK"/>
          <w:sz w:val="32"/>
          <w:szCs w:val="32"/>
        </w:rPr>
        <w:t>、招标核准：</w:t>
      </w:r>
      <w:r>
        <w:rPr>
          <w:rFonts w:hint="eastAsia" w:ascii="方正仿宋_GBK" w:hAnsi="方正仿宋_GBK" w:eastAsia="方正仿宋_GBK" w:cs="方正仿宋_GBK"/>
          <w:color w:val="000000"/>
          <w:sz w:val="32"/>
          <w:szCs w:val="32"/>
        </w:rPr>
        <w:t>招标范围为</w:t>
      </w:r>
      <w:r>
        <w:rPr>
          <w:rFonts w:hint="eastAsia" w:ascii="方正仿宋_GBK" w:hAnsi="方正仿宋_GBK" w:eastAsia="方正仿宋_GBK" w:cs="方正仿宋_GBK"/>
          <w:color w:val="000000"/>
          <w:sz w:val="32"/>
          <w:szCs w:val="32"/>
          <w:lang w:eastAsia="zh-CN"/>
        </w:rPr>
        <w:t>工程</w:t>
      </w:r>
      <w:r>
        <w:rPr>
          <w:rFonts w:hint="eastAsia" w:ascii="方正仿宋_GBK" w:hAnsi="方正仿宋_GBK" w:eastAsia="方正仿宋_GBK" w:cs="方正仿宋_GBK"/>
          <w:color w:val="000000"/>
          <w:sz w:val="32"/>
          <w:szCs w:val="32"/>
        </w:rPr>
        <w:t>施工及达到招标限额的设计等服务</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000000"/>
          <w:sz w:val="32"/>
          <w:szCs w:val="32"/>
        </w:rPr>
        <w:t>招标方式为公开招标，招标组织形式为委托招标。招标文件报公共资源交易监督管理部门备案后在指定媒介公开发布。</w:t>
      </w:r>
      <w:r>
        <w:rPr>
          <w:rFonts w:hint="eastAsia" w:ascii="方正仿宋_GBK" w:hAnsi="方正仿宋_GBK" w:eastAsia="方正仿宋_GBK" w:cs="方正仿宋_GBK"/>
          <w:color w:val="000000"/>
          <w:sz w:val="32"/>
          <w:szCs w:val="32"/>
          <w:lang w:eastAsia="zh-CN"/>
        </w:rPr>
        <w:t>与工程建设相关</w:t>
      </w:r>
      <w:r>
        <w:rPr>
          <w:rFonts w:hint="eastAsia" w:ascii="方正仿宋_GBK" w:hAnsi="方正仿宋_GBK" w:eastAsia="方正仿宋_GBK" w:cs="方正仿宋_GBK"/>
          <w:color w:val="000000"/>
          <w:sz w:val="32"/>
          <w:szCs w:val="32"/>
        </w:rPr>
        <w:t>限额以下</w:t>
      </w:r>
      <w:r>
        <w:rPr>
          <w:rFonts w:hint="eastAsia" w:ascii="方正仿宋_GBK" w:hAnsi="方正仿宋_GBK" w:eastAsia="方正仿宋_GBK" w:cs="方正仿宋_GBK"/>
          <w:color w:val="000000"/>
          <w:sz w:val="32"/>
          <w:szCs w:val="32"/>
          <w:lang w:eastAsia="zh-CN"/>
        </w:rPr>
        <w:t>的勘察、监理等相关</w:t>
      </w:r>
      <w:r>
        <w:rPr>
          <w:rFonts w:hint="eastAsia" w:ascii="方正仿宋_GBK" w:hAnsi="方正仿宋_GBK" w:eastAsia="方正仿宋_GBK" w:cs="方正仿宋_GBK"/>
          <w:color w:val="000000"/>
          <w:sz w:val="32"/>
          <w:szCs w:val="32"/>
        </w:rPr>
        <w:t>服务及主要设备和材料采购的发包，按綦江府办发〔2021〕4号文件有关规定执行。</w:t>
      </w:r>
    </w:p>
    <w:p>
      <w:pPr>
        <w:widowControl w:val="0"/>
        <w:wordWrap/>
        <w:adjustRightInd/>
        <w:snapToGrid/>
        <w:spacing w:before="0" w:after="0" w:line="520" w:lineRule="exact"/>
        <w:ind w:left="0" w:leftChars="0" w:right="0" w:firstLine="640" w:firstLineChars="200"/>
        <w:textAlignment w:val="auto"/>
        <w:outlineLvl w:val="9"/>
        <w:rPr>
          <w:rFonts w:hint="eastAsia" w:ascii="方正仿宋_GBK" w:hAnsi="方正仿宋_GBK" w:eastAsia="方正仿宋_GBK" w:cs="方正仿宋_GBK"/>
          <w:color w:val="000000"/>
          <w:sz w:val="32"/>
          <w:szCs w:val="32"/>
          <w:lang w:eastAsia="zh-CN"/>
        </w:rPr>
      </w:pPr>
      <w:r>
        <w:rPr>
          <w:rStyle w:val="16"/>
          <w:rFonts w:hint="eastAsia" w:ascii="方正黑体_GBK" w:hAnsi="方正黑体_GBK" w:eastAsia="方正黑体_GBK" w:cs="方正黑体_GBK"/>
          <w:sz w:val="32"/>
          <w:szCs w:val="32"/>
          <w:lang w:eastAsia="zh-CN"/>
        </w:rPr>
        <w:t>九、</w:t>
      </w:r>
      <w:r>
        <w:rPr>
          <w:rFonts w:hint="eastAsia" w:ascii="方正仿宋_GBK" w:hAnsi="方正仿宋_GBK" w:eastAsia="方正仿宋_GBK" w:cs="方正仿宋_GBK"/>
          <w:color w:val="000000"/>
          <w:sz w:val="32"/>
          <w:szCs w:val="32"/>
        </w:rPr>
        <w:t>项目概算编制及评审、预算、决算审计等服务，单项合同估算价在国家规定的必须招标限额以下且在国家规定的必须招标范围之外的，</w:t>
      </w:r>
      <w:r>
        <w:rPr>
          <w:rFonts w:hint="eastAsia" w:ascii="方正仿宋_GBK" w:hAnsi="方正仿宋_GBK" w:eastAsia="方正仿宋_GBK" w:cs="方正仿宋_GBK"/>
          <w:sz w:val="32"/>
          <w:szCs w:val="32"/>
        </w:rPr>
        <w:t>按綦发改〔2021〕17号执行</w:t>
      </w:r>
      <w:r>
        <w:rPr>
          <w:rFonts w:hint="eastAsia" w:ascii="方正仿宋_GBK" w:hAnsi="方正仿宋_GBK" w:eastAsia="方正仿宋_GBK" w:cs="方正仿宋_GBK"/>
          <w:color w:val="000000"/>
          <w:sz w:val="32"/>
          <w:szCs w:val="32"/>
        </w:rPr>
        <w:t>，经相关行业主管部门审核后使用。项目初步设计批复后，将投资概算报我委核定</w:t>
      </w:r>
      <w:r>
        <w:rPr>
          <w:rFonts w:hint="eastAsia" w:ascii="方正仿宋_GBK" w:hAnsi="方正仿宋_GBK" w:eastAsia="方正仿宋_GBK" w:cs="方正仿宋_GBK"/>
          <w:color w:val="000000"/>
          <w:sz w:val="32"/>
          <w:szCs w:val="32"/>
          <w:lang w:eastAsia="zh-CN"/>
        </w:rPr>
        <w:t>。</w:t>
      </w:r>
    </w:p>
    <w:p>
      <w:pPr>
        <w:pStyle w:val="5"/>
        <w:widowControl w:val="0"/>
        <w:wordWrap/>
        <w:adjustRightInd/>
        <w:snapToGrid/>
        <w:spacing w:before="0" w:after="0" w:line="520" w:lineRule="exact"/>
        <w:ind w:left="0" w:leftChars="0" w:right="0" w:firstLine="640" w:firstLineChars="200"/>
        <w:textAlignment w:val="auto"/>
        <w:outlineLvl w:val="9"/>
        <w:rPr>
          <w:rFonts w:hint="eastAsia" w:ascii="方正仿宋_GBK" w:hAnsi="方正仿宋_GBK" w:eastAsia="方正仿宋_GBK" w:cs="方正仿宋_GBK"/>
          <w:color w:val="000000"/>
          <w:kern w:val="2"/>
          <w:sz w:val="32"/>
          <w:szCs w:val="32"/>
          <w:highlight w:val="none"/>
          <w:lang w:val="en-US" w:eastAsia="zh-CN" w:bidi="ar-SA"/>
        </w:rPr>
      </w:pPr>
      <w:r>
        <w:rPr>
          <w:rStyle w:val="16"/>
          <w:rFonts w:hint="eastAsia" w:eastAsia="方正黑体_GBK" w:cs="方正黑体_GBK"/>
          <w:kern w:val="2"/>
          <w:sz w:val="32"/>
          <w:szCs w:val="32"/>
          <w:lang w:val="en-US" w:eastAsia="zh-CN" w:bidi="ar-SA"/>
        </w:rPr>
        <w:t>十、其他要求：</w:t>
      </w:r>
      <w:r>
        <w:rPr>
          <w:rFonts w:hint="eastAsia" w:ascii="方正仿宋_GBK" w:hAnsi="方正仿宋_GBK" w:eastAsia="方正仿宋_GBK" w:cs="方正仿宋_GBK"/>
          <w:color w:val="000000"/>
          <w:kern w:val="2"/>
          <w:sz w:val="32"/>
          <w:szCs w:val="32"/>
          <w:lang w:val="en-US" w:eastAsia="zh-CN" w:bidi="ar-SA"/>
        </w:rPr>
        <w:t>本项目为大力实施以工代赈项目，根据《国家以工代赈管理办法》《关于印发重庆市綦江区贯彻落实在重点工程项目中大力实施以工代赈促进当地群众就业增收工作方案重点任务分工的通知》（綦江府办〔2023〕4号）等文件要求，在项目设计、施工等建设内容或环节中，严格落实在重点工程项目中大力实施以工代赈的相关要求，积极采取以工代赈方式，组织当地群众参与务工，加强技能培训，并及时足额发放劳务报酬。</w:t>
      </w:r>
    </w:p>
    <w:p>
      <w:pPr>
        <w:widowControl w:val="0"/>
        <w:wordWrap/>
        <w:adjustRightInd/>
        <w:snapToGrid/>
        <w:spacing w:before="0" w:after="0" w:line="520" w:lineRule="exact"/>
        <w:ind w:left="0" w:leftChars="0" w:right="0"/>
        <w:jc w:val="both"/>
        <w:textAlignment w:val="auto"/>
        <w:outlineLvl w:val="9"/>
        <w:rPr>
          <w:rFonts w:hint="eastAsia" w:ascii="方正仿宋_GBK" w:hAnsi="方正仿宋_GBK" w:eastAsia="方正仿宋_GBK" w:cs="方正仿宋_GBK"/>
          <w:color w:val="000000"/>
          <w:sz w:val="32"/>
          <w:szCs w:val="32"/>
          <w:lang w:eastAsia="zh-CN"/>
        </w:rPr>
      </w:pPr>
    </w:p>
    <w:p>
      <w:pPr>
        <w:pStyle w:val="2"/>
        <w:rPr>
          <w:rFonts w:hint="eastAsia" w:ascii="方正仿宋_GBK" w:hAnsi="方正仿宋_GBK" w:eastAsia="方正仿宋_GBK" w:cs="方正仿宋_GBK"/>
          <w:sz w:val="32"/>
          <w:szCs w:val="32"/>
          <w:lang w:eastAsia="zh-CN"/>
        </w:rPr>
      </w:pPr>
    </w:p>
    <w:p>
      <w:pPr>
        <w:pStyle w:val="2"/>
        <w:rPr>
          <w:rFonts w:hint="eastAsia"/>
          <w:lang w:eastAsia="zh-CN"/>
        </w:rPr>
      </w:pPr>
    </w:p>
    <w:p>
      <w:pPr>
        <w:widowControl w:val="0"/>
        <w:wordWrap/>
        <w:adjustRightInd/>
        <w:snapToGrid/>
        <w:spacing w:before="0" w:after="0" w:line="520" w:lineRule="exact"/>
        <w:ind w:left="0" w:leftChars="0" w:right="0" w:firstLine="3520" w:firstLineChars="1100"/>
        <w:jc w:val="right"/>
        <w:textAlignment w:val="auto"/>
        <w:outlineLvl w:val="9"/>
        <w:rPr>
          <w:rFonts w:eastAsia="方正仿宋_GBK"/>
          <w:color w:val="000000"/>
          <w:sz w:val="32"/>
          <w:szCs w:val="32"/>
        </w:rPr>
      </w:pPr>
      <w:r>
        <w:rPr>
          <w:rFonts w:hint="eastAsia" w:eastAsia="方正仿宋_GBK"/>
          <w:color w:val="000000"/>
          <w:sz w:val="32"/>
          <w:szCs w:val="32"/>
          <w:lang w:val="en-US" w:eastAsia="zh-CN"/>
        </w:rPr>
        <w:t xml:space="preserve">  </w:t>
      </w:r>
      <w:r>
        <w:rPr>
          <w:rFonts w:eastAsia="方正仿宋_GBK"/>
          <w:color w:val="000000"/>
          <w:sz w:val="32"/>
          <w:szCs w:val="32"/>
        </w:rPr>
        <w:t>重庆市綦江区发展和改革委员会</w:t>
      </w:r>
    </w:p>
    <w:p>
      <w:pPr>
        <w:widowControl w:val="0"/>
        <w:wordWrap/>
        <w:adjustRightInd/>
        <w:snapToGrid/>
        <w:spacing w:before="0" w:after="0" w:line="520" w:lineRule="exact"/>
        <w:ind w:left="0" w:leftChars="0" w:right="0" w:firstLine="4480" w:firstLineChars="1400"/>
        <w:jc w:val="both"/>
        <w:textAlignment w:val="auto"/>
        <w:outlineLvl w:val="9"/>
        <w:rPr>
          <w:rFonts w:eastAsia="方正仿宋_GBK"/>
          <w:color w:val="000000"/>
          <w:sz w:val="32"/>
          <w:szCs w:val="32"/>
        </w:rPr>
      </w:pPr>
      <w:r>
        <w:rPr>
          <w:rFonts w:hint="eastAsia" w:eastAsia="方正仿宋_GBK"/>
          <w:color w:val="000000"/>
          <w:sz w:val="32"/>
          <w:szCs w:val="32"/>
          <w:lang w:val="en-US" w:eastAsia="zh-CN"/>
        </w:rPr>
        <w:t xml:space="preserve">    </w:t>
      </w:r>
      <w:r>
        <w:rPr>
          <w:rFonts w:eastAsia="方正仿宋_GBK"/>
          <w:color w:val="000000"/>
          <w:sz w:val="32"/>
          <w:szCs w:val="32"/>
        </w:rPr>
        <w:t xml:space="preserve"> 20</w:t>
      </w:r>
      <w:r>
        <w:rPr>
          <w:rFonts w:hint="eastAsia" w:eastAsia="方正仿宋_GBK"/>
          <w:color w:val="000000"/>
          <w:sz w:val="32"/>
          <w:szCs w:val="32"/>
        </w:rPr>
        <w:t>2</w:t>
      </w:r>
      <w:r>
        <w:rPr>
          <w:rFonts w:hint="eastAsia" w:eastAsia="方正仿宋_GBK"/>
          <w:color w:val="000000"/>
          <w:sz w:val="32"/>
          <w:szCs w:val="32"/>
          <w:lang w:val="en-US" w:eastAsia="zh-CN"/>
        </w:rPr>
        <w:t>3</w:t>
      </w:r>
      <w:r>
        <w:rPr>
          <w:rFonts w:eastAsia="方正仿宋_GBK"/>
          <w:color w:val="000000"/>
          <w:sz w:val="32"/>
          <w:szCs w:val="32"/>
        </w:rPr>
        <w:t>年</w:t>
      </w:r>
      <w:r>
        <w:rPr>
          <w:rFonts w:hint="eastAsia" w:eastAsia="方正仿宋_GBK"/>
          <w:color w:val="000000"/>
          <w:sz w:val="32"/>
          <w:szCs w:val="32"/>
          <w:lang w:val="en-US" w:eastAsia="zh-CN"/>
        </w:rPr>
        <w:t>11</w:t>
      </w:r>
      <w:r>
        <w:rPr>
          <w:rFonts w:eastAsia="方正仿宋_GBK"/>
          <w:color w:val="000000"/>
          <w:sz w:val="32"/>
          <w:szCs w:val="32"/>
        </w:rPr>
        <w:t>月</w:t>
      </w:r>
      <w:r>
        <w:rPr>
          <w:rFonts w:hint="eastAsia" w:eastAsia="方正仿宋_GBK"/>
          <w:color w:val="000000"/>
          <w:sz w:val="32"/>
          <w:szCs w:val="32"/>
          <w:lang w:val="en-US" w:eastAsia="zh-CN"/>
        </w:rPr>
        <w:t>22</w:t>
      </w:r>
      <w:r>
        <w:rPr>
          <w:rFonts w:eastAsia="方正仿宋_GBK"/>
          <w:color w:val="000000"/>
          <w:sz w:val="32"/>
          <w:szCs w:val="32"/>
        </w:rPr>
        <w:t>日</w:t>
      </w:r>
    </w:p>
    <w:p>
      <w:pPr>
        <w:pStyle w:val="2"/>
        <w:rPr>
          <w:rFonts w:eastAsia="方正仿宋_GBK"/>
          <w:sz w:val="28"/>
          <w:szCs w:val="28"/>
        </w:rPr>
      </w:pPr>
      <w:r>
        <w:rPr>
          <w:rFonts w:hint="eastAsia" w:eastAsia="方正仿宋_GBK"/>
          <w:color w:val="000000"/>
          <w:sz w:val="32"/>
          <w:szCs w:val="32"/>
          <w:lang w:val="en-US" w:eastAsia="zh-CN"/>
        </w:rPr>
        <w:t xml:space="preserve">  </w:t>
      </w:r>
      <w:r>
        <w:rPr>
          <w:rFonts w:hint="eastAsia" w:eastAsia="方正仿宋_GBK"/>
          <w:color w:val="000000"/>
          <w:sz w:val="32"/>
          <w:szCs w:val="32"/>
          <w:lang w:eastAsia="zh-CN"/>
        </w:rPr>
        <w:t>（此件公开发布）</w:t>
      </w:r>
    </w:p>
    <w:sectPr>
      <w:headerReference r:id="rId4" w:type="default"/>
      <w:footerReference r:id="rId5" w:type="default"/>
      <w:footerReference r:id="rId6" w:type="even"/>
      <w:pgSz w:w="11906" w:h="16838"/>
      <w:pgMar w:top="2098" w:right="1474" w:bottom="1985" w:left="1588" w:header="851" w:footer="141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Calibri">
    <w:panose1 w:val="020F0502020204030204"/>
    <w:charset w:val="00"/>
    <w:family w:val="auto"/>
    <w:pitch w:val="default"/>
    <w:sig w:usb0="E10002FF" w:usb1="4000ACFF" w:usb2="00000009"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framePr w:wrap="around" w:hAnchor="margin" w:vAnchor="text" w:xAlign="outside" w:y="1"/>
      <w:rPr>
        <w:rStyle w:val="11"/>
        <w:rFonts w:ascii="宋体" w:hAnsi="宋体"/>
        <w:sz w:val="24"/>
        <w:szCs w:val="24"/>
      </w:rPr>
    </w:pPr>
    <w:r>
      <w:rPr>
        <w:rFonts w:hint="eastAsia" w:ascii="宋体" w:hAnsi="宋体"/>
        <w:sz w:val="24"/>
        <w:szCs w:val="24"/>
      </w:rPr>
      <w:fldChar w:fldCharType="begin"/>
    </w:r>
    <w:r>
      <w:rPr>
        <w:rStyle w:val="11"/>
        <w:rFonts w:hint="eastAsia" w:ascii="宋体" w:hAnsi="宋体"/>
        <w:sz w:val="24"/>
        <w:szCs w:val="24"/>
      </w:rPr>
      <w:instrText xml:space="preserve">PAGE  </w:instrText>
    </w:r>
    <w:r>
      <w:rPr>
        <w:rFonts w:hint="eastAsia" w:ascii="宋体" w:hAnsi="宋体"/>
        <w:sz w:val="24"/>
        <w:szCs w:val="24"/>
      </w:rPr>
      <w:fldChar w:fldCharType="separate"/>
    </w:r>
    <w:r>
      <w:rPr>
        <w:rStyle w:val="11"/>
        <w:rFonts w:ascii="宋体" w:hAnsi="宋体"/>
        <w:sz w:val="24"/>
        <w:szCs w:val="24"/>
      </w:rPr>
      <w:t>- 2 -</w:t>
    </w:r>
    <w:r>
      <w:rPr>
        <w:rFonts w:hint="eastAsia" w:ascii="宋体" w:hAnsi="宋体"/>
        <w:sz w:val="24"/>
        <w:szCs w:val="24"/>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framePr w:wrap="around" w:hAnchor="margin" w:vAnchor="text" w:xAlign="outside" w:y="1"/>
      <w:rPr>
        <w:rStyle w:val="11"/>
      </w:rPr>
    </w:pPr>
    <w:r>
      <w:fldChar w:fldCharType="begin"/>
    </w:r>
    <w:r>
      <w:rPr>
        <w:rStyle w:val="11"/>
      </w:rPr>
      <w:instrText xml:space="preserve">PAGE  </w:instrText>
    </w:r>
    <w:r>
      <w:fldChar w:fldCharType="separate"/>
    </w:r>
    <w:r>
      <w:rPr>
        <w:rStyle w:val="11"/>
      </w:rPr>
      <w:t>- 2 -</w:t>
    </w:r>
    <w: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461716113">
    <w:nsid w:val="CE559891"/>
    <w:multiLevelType w:val="singleLevel"/>
    <w:tmpl w:val="CE559891"/>
    <w:lvl w:ilvl="0" w:tentative="1">
      <w:start w:val="1"/>
      <w:numFmt w:val="chineseCounting"/>
      <w:suff w:val="nothing"/>
      <w:lvlText w:val="%1、"/>
      <w:lvlJc w:val="left"/>
      <w:rPr>
        <w:rFonts w:hint="eastAsia" w:ascii="方正黑体_GBK" w:hAnsi="方正黑体_GBK" w:eastAsia="方正黑体_GBK" w:cs="方正黑体_GBK"/>
      </w:rPr>
    </w:lvl>
  </w:abstractNum>
  <w:num w:numId="1">
    <w:abstractNumId w:val="3461716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GE5NTNjZWNiY2Y2YTAwMTQzMzVkYWMyNDE5YTE3Njk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paragraph" w:styleId="2">
    <w:name w:val="HTML Preformatted"/>
    <w:basedOn w:val="1"/>
    <w:qFormat/>
    <w:uiPriority w:val="99"/>
    <w:rPr>
      <w:rFonts w:ascii="Courier New" w:hAnsi="Courier New"/>
      <w:sz w:val="20"/>
    </w:rPr>
  </w:style>
  <w:style w:type="paragraph" w:styleId="4">
    <w:name w:val="Body Text First Indent"/>
    <w:basedOn w:val="1"/>
    <w:qFormat/>
    <w:uiPriority w:val="99"/>
    <w:pPr>
      <w:spacing w:after="120"/>
      <w:ind w:firstLine="420" w:firstLineChars="100"/>
    </w:pPr>
    <w:rPr>
      <w:szCs w:val="28"/>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rPr/>
  </w:style>
  <w:style w:type="character" w:styleId="12">
    <w:name w:val="Emphasis"/>
    <w:basedOn w:val="10"/>
    <w:qFormat/>
    <w:uiPriority w:val="0"/>
    <w:rPr>
      <w:i/>
    </w:rPr>
  </w:style>
  <w:style w:type="paragraph" w:customStyle="1" w:styleId="13">
    <w:name w:val="H-正文格式"/>
    <w:basedOn w:val="1"/>
    <w:link w:val="15"/>
    <w:qFormat/>
    <w:uiPriority w:val="0"/>
    <w:pPr>
      <w:spacing w:line="360" w:lineRule="auto"/>
      <w:ind w:firstLine="480" w:firstLineChars="200"/>
    </w:pPr>
    <w:rPr>
      <w:sz w:val="24"/>
      <w:szCs w:val="22"/>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5">
    <w:name w:val="H-正文格式 Char"/>
    <w:link w:val="13"/>
    <w:qFormat/>
    <w:uiPriority w:val="0"/>
    <w:rPr>
      <w:kern w:val="2"/>
      <w:sz w:val="24"/>
      <w:szCs w:val="22"/>
    </w:rPr>
  </w:style>
  <w:style w:type="character" w:customStyle="1" w:styleId="16">
    <w:name w:val="font031"/>
    <w:basedOn w:val="10"/>
    <w:qFormat/>
    <w:uiPriority w:val="0"/>
    <w:rPr>
      <w:rFonts w:hint="default" w:ascii="ˎ̥" w:hAnsi="ˎ̥"/>
      <w:sz w:val="21"/>
      <w:szCs w:val="21"/>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4</Pages>
  <Words>996</Words>
  <Characters>1090</Characters>
  <Lines>6</Lines>
  <Paragraphs>1</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2022-08-10T08:16:00Z</dcterms:created>
  <dc:creator>番茄花园</dc:creator>
  <cp:lastModifiedBy>Administrator</cp:lastModifiedBy>
  <cp:lastPrinted>2023-11-09T01:40:00Z</cp:lastPrinted>
  <dcterms:modified xsi:type="dcterms:W3CDTF">2023-11-23T07:01:03Z</dcterms:modified>
  <dc:title>綦计〔2007〕　号　　　　　　　　　　　签发人：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82C06E73B50B4A8DA99AFEAAFF06201B</vt:lpwstr>
  </property>
</Properties>
</file>